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62C03" w14:textId="77777777" w:rsidR="00814666" w:rsidRPr="00F42A9B" w:rsidRDefault="00814666" w:rsidP="00A2722A">
      <w:pPr>
        <w:numPr>
          <w:ilvl w:val="0"/>
          <w:numId w:val="4"/>
        </w:numPr>
        <w:spacing w:after="240" w:line="276" w:lineRule="auto"/>
        <w:jc w:val="both"/>
        <w:rPr>
          <w:rFonts w:ascii="Times New Roman" w:eastAsiaTheme="minorEastAsia" w:hAnsi="Times New Roman" w:cs="Times New Roman"/>
          <w:color w:val="000000" w:themeColor="text1"/>
        </w:rPr>
      </w:pPr>
      <w:r w:rsidRPr="00F42A9B">
        <w:rPr>
          <w:rFonts w:ascii="Times New Roman" w:eastAsiaTheme="minorEastAsia" w:hAnsi="Times New Roman" w:cs="Times New Roman"/>
          <w:color w:val="000000" w:themeColor="text1"/>
        </w:rPr>
        <w:t>Hankija hindab kõiki vastavaks tunnistatud pakkumusi hindamiskriteeriumide alusel. Pakkumuste hindamiskriteeriumid 100 väärtuspunkti skaalal on järgnevad:</w:t>
      </w:r>
    </w:p>
    <w:tbl>
      <w:tblPr>
        <w:tblStyle w:val="TableGrid"/>
        <w:tblW w:w="0" w:type="auto"/>
        <w:tblInd w:w="720" w:type="dxa"/>
        <w:tblLook w:val="04A0" w:firstRow="1" w:lastRow="0" w:firstColumn="1" w:lastColumn="0" w:noHBand="0" w:noVBand="1"/>
      </w:tblPr>
      <w:tblGrid>
        <w:gridCol w:w="5625"/>
        <w:gridCol w:w="2717"/>
      </w:tblGrid>
      <w:tr w:rsidR="00814666" w:rsidRPr="00F42A9B" w14:paraId="3C52A090" w14:textId="77777777" w:rsidTr="008445A9">
        <w:tc>
          <w:tcPr>
            <w:tcW w:w="5625" w:type="dxa"/>
            <w:shd w:val="clear" w:color="auto" w:fill="DAE9F7" w:themeFill="text2" w:themeFillTint="1A"/>
            <w:vAlign w:val="center"/>
          </w:tcPr>
          <w:p w14:paraId="687337EB" w14:textId="77777777" w:rsidR="00814666" w:rsidRPr="00F42A9B" w:rsidRDefault="00814666" w:rsidP="006C3E1F">
            <w:pPr>
              <w:spacing w:after="240" w:line="276" w:lineRule="auto"/>
              <w:ind w:left="360"/>
              <w:jc w:val="center"/>
              <w:rPr>
                <w:rFonts w:ascii="Times New Roman" w:eastAsiaTheme="minorEastAsia" w:hAnsi="Times New Roman" w:cs="Times New Roman"/>
                <w:color w:val="000000" w:themeColor="text1"/>
              </w:rPr>
            </w:pPr>
            <w:r w:rsidRPr="00F42A9B">
              <w:rPr>
                <w:rFonts w:ascii="Times New Roman" w:eastAsiaTheme="minorEastAsia" w:hAnsi="Times New Roman" w:cs="Times New Roman"/>
                <w:b/>
                <w:bCs/>
                <w:color w:val="000000" w:themeColor="text1"/>
              </w:rPr>
              <w:t>Kriteerium</w:t>
            </w:r>
          </w:p>
        </w:tc>
        <w:tc>
          <w:tcPr>
            <w:tcW w:w="2717" w:type="dxa"/>
            <w:shd w:val="clear" w:color="auto" w:fill="DAE9F7" w:themeFill="text2" w:themeFillTint="1A"/>
            <w:vAlign w:val="center"/>
          </w:tcPr>
          <w:p w14:paraId="2735217E" w14:textId="77777777" w:rsidR="00814666" w:rsidRPr="00F42A9B" w:rsidRDefault="00814666" w:rsidP="006C3E1F">
            <w:pPr>
              <w:spacing w:after="240" w:line="276" w:lineRule="auto"/>
              <w:jc w:val="center"/>
              <w:rPr>
                <w:rFonts w:ascii="Times New Roman" w:eastAsiaTheme="minorEastAsia" w:hAnsi="Times New Roman" w:cs="Times New Roman"/>
                <w:color w:val="000000" w:themeColor="text1"/>
              </w:rPr>
            </w:pPr>
            <w:r w:rsidRPr="00F42A9B">
              <w:rPr>
                <w:rFonts w:ascii="Times New Roman" w:eastAsiaTheme="minorEastAsia" w:hAnsi="Times New Roman" w:cs="Times New Roman"/>
                <w:b/>
                <w:bCs/>
                <w:color w:val="000000" w:themeColor="text1"/>
              </w:rPr>
              <w:t>Maksimaalsed väärtuspunktid</w:t>
            </w:r>
          </w:p>
        </w:tc>
      </w:tr>
      <w:tr w:rsidR="00814666" w:rsidRPr="00F42A9B" w14:paraId="06BBED95" w14:textId="77777777" w:rsidTr="00B11C1B">
        <w:tc>
          <w:tcPr>
            <w:tcW w:w="5625" w:type="dxa"/>
          </w:tcPr>
          <w:p w14:paraId="48E67A38" w14:textId="56FE7DC6" w:rsidR="00814666" w:rsidRPr="00F42A9B" w:rsidRDefault="00814666" w:rsidP="00B11C1B">
            <w:pPr>
              <w:spacing w:after="240" w:line="276" w:lineRule="auto"/>
              <w:jc w:val="both"/>
              <w:rPr>
                <w:rFonts w:ascii="Times New Roman" w:eastAsiaTheme="minorEastAsia" w:hAnsi="Times New Roman" w:cs="Times New Roman"/>
                <w:b/>
                <w:bCs/>
                <w:color w:val="000000" w:themeColor="text1"/>
              </w:rPr>
            </w:pPr>
            <w:r w:rsidRPr="00F42A9B">
              <w:rPr>
                <w:rFonts w:ascii="Times New Roman" w:eastAsiaTheme="minorEastAsia" w:hAnsi="Times New Roman" w:cs="Times New Roman"/>
                <w:b/>
                <w:bCs/>
                <w:color w:val="000000" w:themeColor="text1"/>
              </w:rPr>
              <w:t xml:space="preserve">Pakkumuse kogumaksumus </w:t>
            </w:r>
          </w:p>
        </w:tc>
        <w:tc>
          <w:tcPr>
            <w:tcW w:w="2717" w:type="dxa"/>
          </w:tcPr>
          <w:p w14:paraId="4CEBA23D" w14:textId="1435F141" w:rsidR="00814666" w:rsidRPr="00F42A9B" w:rsidRDefault="00B11C1B" w:rsidP="006C3E1F">
            <w:pPr>
              <w:spacing w:after="240" w:line="276" w:lineRule="auto"/>
              <w:jc w:val="center"/>
              <w:rPr>
                <w:rFonts w:ascii="Times New Roman" w:eastAsiaTheme="minorEastAsia" w:hAnsi="Times New Roman" w:cs="Times New Roman"/>
                <w:color w:val="000000" w:themeColor="text1"/>
              </w:rPr>
            </w:pPr>
            <w:r w:rsidRPr="00F42A9B">
              <w:rPr>
                <w:rFonts w:ascii="Times New Roman" w:eastAsiaTheme="minorEastAsia" w:hAnsi="Times New Roman" w:cs="Times New Roman"/>
                <w:color w:val="000000" w:themeColor="text1"/>
              </w:rPr>
              <w:t>2</w:t>
            </w:r>
            <w:r w:rsidR="00814666" w:rsidRPr="00F42A9B">
              <w:rPr>
                <w:rFonts w:ascii="Times New Roman" w:eastAsiaTheme="minorEastAsia" w:hAnsi="Times New Roman" w:cs="Times New Roman"/>
                <w:color w:val="000000" w:themeColor="text1"/>
              </w:rPr>
              <w:t>0</w:t>
            </w:r>
          </w:p>
        </w:tc>
      </w:tr>
      <w:tr w:rsidR="00814666" w:rsidRPr="00F42A9B" w14:paraId="7672AE12" w14:textId="77777777" w:rsidTr="00B11C1B">
        <w:trPr>
          <w:trHeight w:val="274"/>
        </w:trPr>
        <w:tc>
          <w:tcPr>
            <w:tcW w:w="5625" w:type="dxa"/>
          </w:tcPr>
          <w:p w14:paraId="7296246C" w14:textId="394457F1" w:rsidR="00814666" w:rsidRPr="00F42A9B" w:rsidRDefault="00814666" w:rsidP="00B11C1B">
            <w:pPr>
              <w:spacing w:after="240" w:line="276" w:lineRule="auto"/>
              <w:jc w:val="both"/>
              <w:rPr>
                <w:rFonts w:ascii="Times New Roman" w:eastAsiaTheme="minorEastAsia" w:hAnsi="Times New Roman" w:cs="Times New Roman"/>
                <w:b/>
                <w:bCs/>
                <w:color w:val="000000" w:themeColor="text1"/>
              </w:rPr>
            </w:pPr>
            <w:r w:rsidRPr="00F42A9B">
              <w:rPr>
                <w:rFonts w:ascii="Times New Roman" w:eastAsiaTheme="minorEastAsia" w:hAnsi="Times New Roman" w:cs="Times New Roman"/>
                <w:b/>
                <w:bCs/>
                <w:color w:val="000000" w:themeColor="text1"/>
              </w:rPr>
              <w:t>Projektiplaan</w:t>
            </w:r>
          </w:p>
        </w:tc>
        <w:tc>
          <w:tcPr>
            <w:tcW w:w="2717" w:type="dxa"/>
          </w:tcPr>
          <w:p w14:paraId="05004564" w14:textId="68FABD15" w:rsidR="00814666" w:rsidRPr="00F42A9B" w:rsidRDefault="00BA1CB3" w:rsidP="006C3E1F">
            <w:pPr>
              <w:spacing w:after="240" w:line="276" w:lineRule="auto"/>
              <w:jc w:val="center"/>
              <w:rPr>
                <w:rFonts w:ascii="Times New Roman" w:eastAsiaTheme="minorEastAsia" w:hAnsi="Times New Roman" w:cs="Times New Roman"/>
                <w:color w:val="000000" w:themeColor="text1"/>
              </w:rPr>
            </w:pPr>
            <w:r w:rsidRPr="00F42A9B">
              <w:rPr>
                <w:rFonts w:ascii="Times New Roman" w:eastAsiaTheme="minorEastAsia" w:hAnsi="Times New Roman" w:cs="Times New Roman"/>
                <w:color w:val="000000" w:themeColor="text1"/>
              </w:rPr>
              <w:t>2</w:t>
            </w:r>
            <w:r w:rsidR="00814666" w:rsidRPr="00F42A9B">
              <w:rPr>
                <w:rFonts w:ascii="Times New Roman" w:eastAsiaTheme="minorEastAsia" w:hAnsi="Times New Roman" w:cs="Times New Roman"/>
                <w:color w:val="000000" w:themeColor="text1"/>
              </w:rPr>
              <w:t>0</w:t>
            </w:r>
          </w:p>
        </w:tc>
      </w:tr>
      <w:tr w:rsidR="00B11C1B" w:rsidRPr="00F42A9B" w14:paraId="5F1D11F3" w14:textId="77777777" w:rsidTr="00B11C1B">
        <w:trPr>
          <w:trHeight w:val="274"/>
        </w:trPr>
        <w:tc>
          <w:tcPr>
            <w:tcW w:w="5625" w:type="dxa"/>
          </w:tcPr>
          <w:p w14:paraId="660BAE84" w14:textId="545A7331" w:rsidR="00B11C1B" w:rsidRPr="00F42A9B" w:rsidRDefault="00B11C1B" w:rsidP="00B11C1B">
            <w:pPr>
              <w:spacing w:after="240" w:line="276" w:lineRule="auto"/>
              <w:jc w:val="both"/>
              <w:rPr>
                <w:rFonts w:ascii="Times New Roman" w:eastAsiaTheme="minorEastAsia" w:hAnsi="Times New Roman" w:cs="Times New Roman"/>
                <w:b/>
                <w:bCs/>
                <w:color w:val="000000" w:themeColor="text1"/>
              </w:rPr>
            </w:pPr>
            <w:r w:rsidRPr="00F42A9B">
              <w:rPr>
                <w:rFonts w:ascii="Times New Roman" w:eastAsiaTheme="minorEastAsia" w:hAnsi="Times New Roman" w:cs="Times New Roman"/>
                <w:b/>
                <w:bCs/>
                <w:color w:val="000000" w:themeColor="text1"/>
              </w:rPr>
              <w:t>Projektimeeskonna kogemus</w:t>
            </w:r>
          </w:p>
        </w:tc>
        <w:tc>
          <w:tcPr>
            <w:tcW w:w="2717" w:type="dxa"/>
          </w:tcPr>
          <w:p w14:paraId="6932DB89" w14:textId="62403AF0" w:rsidR="00B11C1B" w:rsidRPr="00F42A9B" w:rsidRDefault="00BA1CB3" w:rsidP="006C3E1F">
            <w:pPr>
              <w:spacing w:after="240" w:line="276" w:lineRule="auto"/>
              <w:jc w:val="center"/>
              <w:rPr>
                <w:rFonts w:ascii="Times New Roman" w:eastAsiaTheme="minorEastAsia" w:hAnsi="Times New Roman" w:cs="Times New Roman"/>
                <w:color w:val="000000" w:themeColor="text1"/>
              </w:rPr>
            </w:pPr>
            <w:r w:rsidRPr="00F42A9B">
              <w:rPr>
                <w:rFonts w:ascii="Times New Roman" w:eastAsiaTheme="minorEastAsia" w:hAnsi="Times New Roman" w:cs="Times New Roman"/>
                <w:color w:val="000000" w:themeColor="text1"/>
              </w:rPr>
              <w:t>2</w:t>
            </w:r>
            <w:r w:rsidR="00B11C1B" w:rsidRPr="00F42A9B">
              <w:rPr>
                <w:rFonts w:ascii="Times New Roman" w:eastAsiaTheme="minorEastAsia" w:hAnsi="Times New Roman" w:cs="Times New Roman"/>
                <w:color w:val="000000" w:themeColor="text1"/>
              </w:rPr>
              <w:t>0</w:t>
            </w:r>
          </w:p>
        </w:tc>
      </w:tr>
      <w:tr w:rsidR="00814666" w:rsidRPr="00F42A9B" w14:paraId="264F9CEF" w14:textId="77777777" w:rsidTr="00B11C1B">
        <w:trPr>
          <w:trHeight w:val="274"/>
        </w:trPr>
        <w:tc>
          <w:tcPr>
            <w:tcW w:w="5625" w:type="dxa"/>
          </w:tcPr>
          <w:p w14:paraId="288CD0D7" w14:textId="1D4C8F40" w:rsidR="00814666" w:rsidRPr="00F42A9B" w:rsidRDefault="00814666" w:rsidP="00B11C1B">
            <w:pPr>
              <w:spacing w:after="240" w:line="276" w:lineRule="auto"/>
              <w:jc w:val="both"/>
              <w:rPr>
                <w:rFonts w:ascii="Times New Roman" w:eastAsiaTheme="minorEastAsia" w:hAnsi="Times New Roman" w:cs="Times New Roman"/>
                <w:b/>
                <w:bCs/>
                <w:color w:val="000000" w:themeColor="text1"/>
              </w:rPr>
            </w:pPr>
            <w:r w:rsidRPr="00F42A9B">
              <w:rPr>
                <w:rFonts w:ascii="Times New Roman" w:eastAsiaTheme="minorEastAsia" w:hAnsi="Times New Roman" w:cs="Times New Roman"/>
                <w:b/>
                <w:bCs/>
                <w:color w:val="000000" w:themeColor="text1"/>
              </w:rPr>
              <w:t>Proovitöö</w:t>
            </w:r>
          </w:p>
        </w:tc>
        <w:tc>
          <w:tcPr>
            <w:tcW w:w="2717" w:type="dxa"/>
          </w:tcPr>
          <w:p w14:paraId="3D349BF3" w14:textId="54FE8B95" w:rsidR="00814666" w:rsidRPr="00F42A9B" w:rsidRDefault="00814666" w:rsidP="006C3E1F">
            <w:pPr>
              <w:spacing w:after="240" w:line="276" w:lineRule="auto"/>
              <w:jc w:val="center"/>
              <w:rPr>
                <w:rFonts w:ascii="Times New Roman" w:eastAsiaTheme="minorEastAsia" w:hAnsi="Times New Roman" w:cs="Times New Roman"/>
                <w:color w:val="000000" w:themeColor="text1"/>
              </w:rPr>
            </w:pPr>
            <w:r w:rsidRPr="00F42A9B">
              <w:rPr>
                <w:rFonts w:ascii="Times New Roman" w:eastAsiaTheme="minorEastAsia" w:hAnsi="Times New Roman" w:cs="Times New Roman"/>
                <w:color w:val="000000" w:themeColor="text1"/>
              </w:rPr>
              <w:t>40</w:t>
            </w:r>
          </w:p>
        </w:tc>
      </w:tr>
      <w:tr w:rsidR="00814666" w:rsidRPr="00F42A9B" w14:paraId="1A7195C0" w14:textId="77777777" w:rsidTr="00B11C1B">
        <w:tc>
          <w:tcPr>
            <w:tcW w:w="5625" w:type="dxa"/>
          </w:tcPr>
          <w:p w14:paraId="574446A1" w14:textId="77777777" w:rsidR="00814666" w:rsidRPr="00F42A9B" w:rsidRDefault="00814666" w:rsidP="00B11C1B">
            <w:pPr>
              <w:spacing w:after="240" w:line="276" w:lineRule="auto"/>
              <w:jc w:val="both"/>
              <w:rPr>
                <w:rFonts w:ascii="Times New Roman" w:eastAsiaTheme="minorEastAsia" w:hAnsi="Times New Roman" w:cs="Times New Roman"/>
                <w:color w:val="000000" w:themeColor="text1"/>
              </w:rPr>
            </w:pPr>
            <w:r w:rsidRPr="00F42A9B">
              <w:rPr>
                <w:rFonts w:ascii="Times New Roman" w:eastAsiaTheme="minorEastAsia" w:hAnsi="Times New Roman" w:cs="Times New Roman"/>
                <w:color w:val="000000" w:themeColor="text1"/>
              </w:rPr>
              <w:t>KOKKU</w:t>
            </w:r>
          </w:p>
        </w:tc>
        <w:tc>
          <w:tcPr>
            <w:tcW w:w="2717" w:type="dxa"/>
          </w:tcPr>
          <w:p w14:paraId="7156651A" w14:textId="77777777" w:rsidR="00814666" w:rsidRPr="00F42A9B" w:rsidRDefault="00814666" w:rsidP="006C3E1F">
            <w:pPr>
              <w:spacing w:after="240" w:line="276" w:lineRule="auto"/>
              <w:jc w:val="center"/>
              <w:rPr>
                <w:rFonts w:ascii="Times New Roman" w:eastAsiaTheme="minorEastAsia" w:hAnsi="Times New Roman" w:cs="Times New Roman"/>
                <w:color w:val="000000" w:themeColor="text1"/>
              </w:rPr>
            </w:pPr>
            <w:r w:rsidRPr="00F42A9B">
              <w:rPr>
                <w:rFonts w:ascii="Times New Roman" w:eastAsiaTheme="minorEastAsia" w:hAnsi="Times New Roman" w:cs="Times New Roman"/>
                <w:color w:val="000000" w:themeColor="text1"/>
              </w:rPr>
              <w:t>100</w:t>
            </w:r>
          </w:p>
        </w:tc>
      </w:tr>
    </w:tbl>
    <w:p w14:paraId="66F06CBB" w14:textId="75E22EE7" w:rsidR="00AD681C" w:rsidRPr="00B11C1B" w:rsidRDefault="334723A5" w:rsidP="00B11C1B">
      <w:pPr>
        <w:spacing w:after="240" w:line="276" w:lineRule="auto"/>
        <w:jc w:val="both"/>
        <w:rPr>
          <w:rFonts w:ascii="Times New Roman" w:eastAsiaTheme="minorEastAsia" w:hAnsi="Times New Roman" w:cs="Times New Roman"/>
          <w:color w:val="000000" w:themeColor="text1"/>
        </w:rPr>
      </w:pPr>
      <w:r w:rsidRPr="00B11C1B">
        <w:rPr>
          <w:rFonts w:ascii="Times New Roman" w:eastAsiaTheme="minorEastAsia" w:hAnsi="Times New Roman" w:cs="Times New Roman"/>
          <w:color w:val="000000" w:themeColor="text1"/>
        </w:rPr>
        <w:t xml:space="preserve">. </w:t>
      </w:r>
    </w:p>
    <w:p w14:paraId="205E513E" w14:textId="5D9656B0" w:rsidR="00814666" w:rsidRPr="00B11C1B" w:rsidRDefault="00814666" w:rsidP="00A2722A">
      <w:pPr>
        <w:numPr>
          <w:ilvl w:val="0"/>
          <w:numId w:val="4"/>
        </w:numPr>
        <w:spacing w:after="240" w:line="276" w:lineRule="auto"/>
        <w:jc w:val="both"/>
        <w:rPr>
          <w:rFonts w:ascii="Times New Roman" w:eastAsiaTheme="minorEastAsia" w:hAnsi="Times New Roman" w:cs="Times New Roman"/>
          <w:color w:val="000000" w:themeColor="text1"/>
        </w:rPr>
      </w:pPr>
      <w:r w:rsidRPr="00B11C1B">
        <w:rPr>
          <w:rFonts w:ascii="Times New Roman" w:eastAsiaTheme="minorEastAsia" w:hAnsi="Times New Roman" w:cs="Times New Roman"/>
          <w:color w:val="000000" w:themeColor="text1"/>
        </w:rPr>
        <w:t xml:space="preserve">Eduka pakkumuse valiku aluseks on majanduslik soodsus (parim hinna ja kvaliteedi suhe), mis selgitatakse välja väärtuspunktide omistamise meetodil hindamiskriteeriumide alusel. </w:t>
      </w:r>
      <w:r w:rsidR="00630D20">
        <w:rPr>
          <w:rFonts w:ascii="Times New Roman" w:eastAsiaTheme="minorEastAsia" w:hAnsi="Times New Roman" w:cs="Times New Roman"/>
          <w:color w:val="000000" w:themeColor="text1"/>
        </w:rPr>
        <w:t xml:space="preserve">Nelja hindamiskriteeriumi lõikes omistatud </w:t>
      </w:r>
      <w:r w:rsidRPr="00B11C1B">
        <w:rPr>
          <w:rFonts w:ascii="Times New Roman" w:eastAsiaTheme="minorEastAsia" w:hAnsi="Times New Roman" w:cs="Times New Roman"/>
          <w:color w:val="000000" w:themeColor="text1"/>
        </w:rPr>
        <w:t>väärtuspunktid summeeritakse. Väärtuspunkte omistatakse täpsusega kaks kohta pärast koma.</w:t>
      </w:r>
    </w:p>
    <w:p w14:paraId="368A771B" w14:textId="00EC9C9B" w:rsidR="008445A9" w:rsidRDefault="008445A9" w:rsidP="00A2722A">
      <w:pPr>
        <w:numPr>
          <w:ilvl w:val="0"/>
          <w:numId w:val="4"/>
        </w:numPr>
        <w:spacing w:after="240" w:line="276" w:lineRule="auto"/>
        <w:jc w:val="both"/>
        <w:rPr>
          <w:rFonts w:ascii="Times New Roman" w:eastAsiaTheme="minorEastAsia" w:hAnsi="Times New Roman" w:cs="Times New Roman"/>
          <w:bCs/>
          <w:color w:val="000000" w:themeColor="text1"/>
        </w:rPr>
      </w:pPr>
      <w:r w:rsidRPr="008445A9">
        <w:rPr>
          <w:rFonts w:ascii="Times New Roman" w:eastAsiaTheme="minorEastAsia" w:hAnsi="Times New Roman" w:cs="Times New Roman"/>
          <w:bCs/>
          <w:color w:val="000000" w:themeColor="text1"/>
        </w:rPr>
        <w:t>Pakkumusi hinnatakse hankija poolt valitud vähemalt kolme sõltumatu hindaja poolt konsensuslikult. Hindajad lähtuvad hindamisel antud riigihanke alusdokumendis esitatud hindamismetoodikas kirjeldatud põhimõtetest ning esitavad hindamise põhjendatud tulemused kollektiivses protokollis, mis on kõigi hindajate poolt allkirjastatud</w:t>
      </w:r>
      <w:r>
        <w:rPr>
          <w:rFonts w:ascii="Times New Roman" w:eastAsiaTheme="minorEastAsia" w:hAnsi="Times New Roman" w:cs="Times New Roman"/>
          <w:bCs/>
          <w:color w:val="000000" w:themeColor="text1"/>
        </w:rPr>
        <w:t>.</w:t>
      </w:r>
    </w:p>
    <w:p w14:paraId="2D7C450E" w14:textId="4EDAA455" w:rsidR="008445A9" w:rsidRPr="008445A9" w:rsidRDefault="008445A9" w:rsidP="00A2722A">
      <w:pPr>
        <w:numPr>
          <w:ilvl w:val="0"/>
          <w:numId w:val="4"/>
        </w:numPr>
        <w:spacing w:after="240" w:line="276" w:lineRule="auto"/>
        <w:jc w:val="both"/>
        <w:rPr>
          <w:rFonts w:ascii="Times New Roman" w:eastAsiaTheme="minorEastAsia" w:hAnsi="Times New Roman" w:cs="Times New Roman"/>
          <w:bCs/>
          <w:color w:val="000000" w:themeColor="text1"/>
        </w:rPr>
      </w:pPr>
      <w:r w:rsidRPr="00B11C1B">
        <w:rPr>
          <w:rFonts w:ascii="Times New Roman" w:eastAsiaTheme="minorEastAsia" w:hAnsi="Times New Roman" w:cs="Times New Roman"/>
          <w:color w:val="000000" w:themeColor="text1"/>
        </w:rPr>
        <w:t xml:space="preserve">Hankija tunnistab edukaks </w:t>
      </w:r>
      <w:r>
        <w:rPr>
          <w:rFonts w:ascii="Times New Roman" w:eastAsiaTheme="minorEastAsia" w:hAnsi="Times New Roman" w:cs="Times New Roman"/>
          <w:color w:val="000000" w:themeColor="text1"/>
        </w:rPr>
        <w:t xml:space="preserve">kõikide hindamiskriteeriumite summana </w:t>
      </w:r>
      <w:r w:rsidRPr="00B11C1B">
        <w:rPr>
          <w:rFonts w:ascii="Times New Roman" w:eastAsiaTheme="minorEastAsia" w:hAnsi="Times New Roman" w:cs="Times New Roman"/>
          <w:color w:val="000000" w:themeColor="text1"/>
        </w:rPr>
        <w:t>enim väärtuspunkte saanud pakkumuse.</w:t>
      </w:r>
      <w:r>
        <w:rPr>
          <w:rFonts w:ascii="Times New Roman" w:eastAsiaTheme="minorEastAsia" w:hAnsi="Times New Roman" w:cs="Times New Roman"/>
          <w:color w:val="000000" w:themeColor="text1"/>
        </w:rPr>
        <w:t xml:space="preserve"> </w:t>
      </w:r>
      <w:r w:rsidRPr="00B11C1B">
        <w:rPr>
          <w:rFonts w:ascii="Times New Roman" w:eastAsiaTheme="minorEastAsia" w:hAnsi="Times New Roman" w:cs="Times New Roman"/>
          <w:color w:val="000000" w:themeColor="text1"/>
        </w:rPr>
        <w:t xml:space="preserve">Võrdsete väärtuspunktidega pakkumuste korral tunnistatakse edukaks pakkumus, millele on omistatud </w:t>
      </w:r>
      <w:r w:rsidRPr="00B11C1B">
        <w:rPr>
          <w:rFonts w:ascii="Times New Roman" w:eastAsiaTheme="minorEastAsia" w:hAnsi="Times New Roman" w:cs="Times New Roman"/>
          <w:bCs/>
          <w:color w:val="000000" w:themeColor="text1"/>
        </w:rPr>
        <w:t>„</w:t>
      </w:r>
      <w:r>
        <w:rPr>
          <w:rFonts w:ascii="Times New Roman" w:eastAsiaTheme="minorEastAsia" w:hAnsi="Times New Roman" w:cs="Times New Roman"/>
          <w:bCs/>
          <w:color w:val="000000" w:themeColor="text1"/>
        </w:rPr>
        <w:t>Proovitöö</w:t>
      </w:r>
      <w:r w:rsidRPr="00B11C1B">
        <w:rPr>
          <w:rFonts w:ascii="Times New Roman" w:eastAsiaTheme="minorEastAsia" w:hAnsi="Times New Roman" w:cs="Times New Roman"/>
          <w:bCs/>
          <w:color w:val="000000" w:themeColor="text1"/>
        </w:rPr>
        <w:t>“ k</w:t>
      </w:r>
      <w:r w:rsidRPr="00B11C1B">
        <w:rPr>
          <w:rFonts w:ascii="Times New Roman" w:eastAsiaTheme="minorEastAsia" w:hAnsi="Times New Roman" w:cs="Times New Roman"/>
          <w:color w:val="000000" w:themeColor="text1"/>
        </w:rPr>
        <w:t>riteeriumi eest suurim arv väärtuspunkte. Juhul, kui ka seejärel on väärtuspunktid võrdsed, tunnistatakse edukaks pakkumus, millele on omistatud „</w:t>
      </w:r>
      <w:r>
        <w:rPr>
          <w:rFonts w:ascii="Times New Roman" w:eastAsiaTheme="minorEastAsia" w:hAnsi="Times New Roman" w:cs="Times New Roman"/>
          <w:color w:val="000000" w:themeColor="text1"/>
        </w:rPr>
        <w:t>Projektiplaan</w:t>
      </w:r>
      <w:r w:rsidRPr="00B11C1B">
        <w:rPr>
          <w:rFonts w:ascii="Times New Roman" w:eastAsiaTheme="minorEastAsia" w:hAnsi="Times New Roman" w:cs="Times New Roman"/>
          <w:bCs/>
          <w:color w:val="000000" w:themeColor="text1"/>
        </w:rPr>
        <w:t xml:space="preserve">“ </w:t>
      </w:r>
      <w:r w:rsidRPr="00B11C1B">
        <w:rPr>
          <w:rFonts w:ascii="Times New Roman" w:eastAsiaTheme="minorEastAsia" w:hAnsi="Times New Roman" w:cs="Times New Roman"/>
          <w:color w:val="000000" w:themeColor="text1"/>
        </w:rPr>
        <w:t>kriteeriumi eest suurim arv väärtuspunkte. Juhul, kui ka seejärel on väärtuspunktid võrdsed, tunnistatakse edukaks pakkumus, millele on omistatud „</w:t>
      </w:r>
      <w:r w:rsidR="00872E39" w:rsidRPr="00872E39">
        <w:rPr>
          <w:rFonts w:ascii="Times New Roman" w:eastAsiaTheme="minorEastAsia" w:hAnsi="Times New Roman" w:cs="Times New Roman"/>
          <w:color w:val="000000" w:themeColor="text1"/>
        </w:rPr>
        <w:t>Projektimeeskonna kogemus</w:t>
      </w:r>
      <w:r w:rsidRPr="00B11C1B">
        <w:rPr>
          <w:rFonts w:ascii="Times New Roman" w:eastAsiaTheme="minorEastAsia" w:hAnsi="Times New Roman" w:cs="Times New Roman"/>
          <w:color w:val="000000" w:themeColor="text1"/>
        </w:rPr>
        <w:t>“ kriteeriumi eest suurim arv väärtuspunkte. Juhul, kui  väärtuspunktid on võrdsed ka peale seda, korraldab hankija eduka pakkumuse väljaselgitamiseks liisuheitmise, võimaldades võrdselt väärtuspunkte saanud pakkumuse esitanud pakkujatel liisuheitmise juures viibida</w:t>
      </w:r>
      <w:r>
        <w:rPr>
          <w:rFonts w:ascii="Times New Roman" w:eastAsiaTheme="minorEastAsia" w:hAnsi="Times New Roman" w:cs="Times New Roman"/>
          <w:color w:val="000000" w:themeColor="text1"/>
        </w:rPr>
        <w:t>.</w:t>
      </w:r>
      <w:r w:rsidR="003000B5" w:rsidRPr="003000B5">
        <w:t xml:space="preserve"> </w:t>
      </w:r>
      <w:r w:rsidR="003000B5" w:rsidRPr="003000B5">
        <w:rPr>
          <w:rFonts w:ascii="Times New Roman" w:eastAsiaTheme="minorEastAsia" w:hAnsi="Times New Roman" w:cs="Times New Roman"/>
          <w:color w:val="000000" w:themeColor="text1"/>
        </w:rPr>
        <w:t>Kui riigihankes on vastavaks tunnistatud ainult üks pakkumus, võib hankija omistada pakkumusele automaatselt maksimaalsed väärtuspunktid ning pakkumuse sisulist hindamist ei toimu</w:t>
      </w:r>
      <w:r w:rsidR="003000B5">
        <w:rPr>
          <w:rFonts w:ascii="Times New Roman" w:eastAsiaTheme="minorEastAsia" w:hAnsi="Times New Roman" w:cs="Times New Roman"/>
          <w:color w:val="000000" w:themeColor="text1"/>
        </w:rPr>
        <w:t>.</w:t>
      </w:r>
    </w:p>
    <w:p w14:paraId="25E7C213" w14:textId="377D1DF9" w:rsidR="00814666" w:rsidRDefault="00814666" w:rsidP="00A2722A">
      <w:pPr>
        <w:numPr>
          <w:ilvl w:val="0"/>
          <w:numId w:val="4"/>
        </w:numPr>
        <w:spacing w:after="240" w:line="276" w:lineRule="auto"/>
        <w:jc w:val="both"/>
        <w:rPr>
          <w:rFonts w:ascii="Times New Roman" w:eastAsiaTheme="minorEastAsia" w:hAnsi="Times New Roman" w:cs="Times New Roman"/>
          <w:bCs/>
          <w:color w:val="000000" w:themeColor="text1"/>
        </w:rPr>
      </w:pPr>
      <w:r w:rsidRPr="00B11C1B">
        <w:rPr>
          <w:rFonts w:ascii="Times New Roman" w:eastAsiaTheme="minorEastAsia" w:hAnsi="Times New Roman" w:cs="Times New Roman"/>
          <w:b/>
          <w:color w:val="000000" w:themeColor="text1"/>
        </w:rPr>
        <w:t>Pakkumuste kogumaksumus</w:t>
      </w:r>
      <w:r w:rsidR="00DA577C">
        <w:rPr>
          <w:rFonts w:ascii="Times New Roman" w:eastAsiaTheme="minorEastAsia" w:hAnsi="Times New Roman" w:cs="Times New Roman"/>
          <w:b/>
          <w:color w:val="000000" w:themeColor="text1"/>
        </w:rPr>
        <w:t>e</w:t>
      </w:r>
      <w:r w:rsidRPr="00B11C1B">
        <w:rPr>
          <w:rFonts w:ascii="Times New Roman" w:eastAsiaTheme="minorEastAsia" w:hAnsi="Times New Roman" w:cs="Times New Roman"/>
          <w:bCs/>
          <w:color w:val="000000" w:themeColor="text1"/>
        </w:rPr>
        <w:t xml:space="preserve"> hindamine toimub järgmiselt:</w:t>
      </w:r>
    </w:p>
    <w:p w14:paraId="77E8A370" w14:textId="4AB814C7" w:rsidR="00814666" w:rsidRPr="00B11C1B" w:rsidRDefault="00814666" w:rsidP="00B11C1B">
      <w:pPr>
        <w:spacing w:after="240" w:line="276" w:lineRule="auto"/>
        <w:ind w:left="720"/>
        <w:jc w:val="both"/>
        <w:rPr>
          <w:rFonts w:ascii="Times New Roman" w:eastAsiaTheme="minorEastAsia" w:hAnsi="Times New Roman" w:cs="Times New Roman"/>
          <w:bCs/>
          <w:color w:val="000000" w:themeColor="text1"/>
        </w:rPr>
      </w:pPr>
      <w:r w:rsidRPr="00B11C1B">
        <w:rPr>
          <w:rFonts w:ascii="Times New Roman" w:eastAsiaTheme="minorEastAsia" w:hAnsi="Times New Roman" w:cs="Times New Roman"/>
          <w:color w:val="000000" w:themeColor="text1"/>
        </w:rPr>
        <w:t xml:space="preserve">Madalaima maksumusega pakkumus saab maksimaalse arvu väärtuspunkte, järgmised pakkumused saavad väärtuspunkte proportsionaalselt vähem. Järgmiste pakkumuste punktisummad arvutatakse valemiga: </w:t>
      </w:r>
      <w:r w:rsidRPr="00B11C1B">
        <w:rPr>
          <w:rFonts w:ascii="Times New Roman" w:eastAsiaTheme="minorEastAsia" w:hAnsi="Times New Roman" w:cs="Times New Roman"/>
          <w:b/>
          <w:bCs/>
          <w:color w:val="000000" w:themeColor="text1"/>
        </w:rPr>
        <w:t>Madalaima väärtusega pakkumus saab maksimaalse arvu punkte (</w:t>
      </w:r>
      <w:r w:rsidR="00B11C1B">
        <w:rPr>
          <w:rFonts w:ascii="Times New Roman" w:eastAsiaTheme="minorEastAsia" w:hAnsi="Times New Roman" w:cs="Times New Roman"/>
          <w:b/>
          <w:bCs/>
          <w:color w:val="000000" w:themeColor="text1"/>
        </w:rPr>
        <w:t>2</w:t>
      </w:r>
      <w:r w:rsidRPr="00B11C1B">
        <w:rPr>
          <w:rFonts w:ascii="Times New Roman" w:eastAsiaTheme="minorEastAsia" w:hAnsi="Times New Roman" w:cs="Times New Roman"/>
          <w:b/>
          <w:bCs/>
          <w:color w:val="000000" w:themeColor="text1"/>
        </w:rPr>
        <w:t xml:space="preserve">0 punkti). Teised pakkumused saavad punkte arvutades valemiga: </w:t>
      </w:r>
      <w:r w:rsidRPr="00B11C1B">
        <w:rPr>
          <w:rFonts w:ascii="Times New Roman" w:eastAsiaTheme="minorEastAsia" w:hAnsi="Times New Roman" w:cs="Times New Roman"/>
          <w:b/>
          <w:bCs/>
          <w:color w:val="000000" w:themeColor="text1"/>
        </w:rPr>
        <w:lastRenderedPageBreak/>
        <w:t>"osakaal" - ("pakkumuse väärtus" - madalaim väärtus") / "suurim väärtus" * "</w:t>
      </w:r>
      <w:r w:rsidR="00B11C1B">
        <w:rPr>
          <w:rFonts w:ascii="Times New Roman" w:eastAsiaTheme="minorEastAsia" w:hAnsi="Times New Roman" w:cs="Times New Roman"/>
          <w:b/>
          <w:bCs/>
          <w:color w:val="000000" w:themeColor="text1"/>
        </w:rPr>
        <w:t>2</w:t>
      </w:r>
      <w:r w:rsidRPr="00B11C1B">
        <w:rPr>
          <w:rFonts w:ascii="Times New Roman" w:eastAsiaTheme="minorEastAsia" w:hAnsi="Times New Roman" w:cs="Times New Roman"/>
          <w:b/>
          <w:bCs/>
          <w:color w:val="000000" w:themeColor="text1"/>
        </w:rPr>
        <w:t xml:space="preserve">0". </w:t>
      </w:r>
      <w:r w:rsidRPr="00B11C1B">
        <w:rPr>
          <w:rFonts w:ascii="Times New Roman" w:eastAsiaTheme="minorEastAsia" w:hAnsi="Times New Roman" w:cs="Times New Roman"/>
          <w:color w:val="000000" w:themeColor="text1"/>
        </w:rPr>
        <w:t>Tulemus ümardatakse täpsusega kaks kohta pärast koma.</w:t>
      </w:r>
    </w:p>
    <w:p w14:paraId="56EFD5A3" w14:textId="725E9200" w:rsidR="007B4BE5" w:rsidRPr="00B11C1B" w:rsidRDefault="007B4BE5" w:rsidP="00B11C1B">
      <w:pPr>
        <w:spacing w:after="240" w:line="276" w:lineRule="auto"/>
        <w:ind w:left="426"/>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6. </w:t>
      </w:r>
      <w:r w:rsidRPr="00B11C1B">
        <w:rPr>
          <w:rFonts w:ascii="Times New Roman" w:eastAsiaTheme="minorEastAsia" w:hAnsi="Times New Roman" w:cs="Times New Roman"/>
          <w:b/>
          <w:bCs/>
          <w:color w:val="000000" w:themeColor="text1"/>
        </w:rPr>
        <w:t>Projektiplaani</w:t>
      </w:r>
      <w:r>
        <w:rPr>
          <w:rFonts w:ascii="Times New Roman" w:eastAsiaTheme="minorEastAsia" w:hAnsi="Times New Roman" w:cs="Times New Roman"/>
          <w:color w:val="000000" w:themeColor="text1"/>
        </w:rPr>
        <w:t xml:space="preserve"> </w:t>
      </w:r>
      <w:r w:rsidR="001F38F8" w:rsidRPr="00EF3774">
        <w:rPr>
          <w:rFonts w:ascii="Times New Roman" w:eastAsiaTheme="minorEastAsia" w:hAnsi="Times New Roman" w:cs="Times New Roman"/>
          <w:b/>
          <w:bCs/>
          <w:color w:val="000000" w:themeColor="text1"/>
        </w:rPr>
        <w:t xml:space="preserve">(maksimaalselt </w:t>
      </w:r>
      <w:r w:rsidR="00BA1CB3">
        <w:rPr>
          <w:rFonts w:ascii="Times New Roman" w:eastAsiaTheme="minorEastAsia" w:hAnsi="Times New Roman" w:cs="Times New Roman"/>
          <w:b/>
          <w:bCs/>
          <w:color w:val="000000" w:themeColor="text1"/>
        </w:rPr>
        <w:t>2</w:t>
      </w:r>
      <w:r w:rsidR="001F38F8" w:rsidRPr="00EF3774">
        <w:rPr>
          <w:rFonts w:ascii="Times New Roman" w:eastAsiaTheme="minorEastAsia" w:hAnsi="Times New Roman" w:cs="Times New Roman"/>
          <w:b/>
          <w:bCs/>
          <w:color w:val="000000" w:themeColor="text1"/>
        </w:rPr>
        <w:t>0 punkti)</w:t>
      </w:r>
      <w:r w:rsidR="001F38F8">
        <w:rPr>
          <w:rFonts w:ascii="Times New Roman" w:eastAsiaTheme="minorEastAsia" w:hAnsi="Times New Roman" w:cs="Times New Roman"/>
          <w:color w:val="000000" w:themeColor="text1"/>
        </w:rPr>
        <w:t xml:space="preserve"> </w:t>
      </w:r>
      <w:r w:rsidR="00814666" w:rsidRPr="00B11C1B">
        <w:rPr>
          <w:rFonts w:ascii="Times New Roman" w:eastAsiaTheme="minorEastAsia" w:hAnsi="Times New Roman" w:cs="Times New Roman"/>
          <w:color w:val="000000" w:themeColor="text1"/>
        </w:rPr>
        <w:t xml:space="preserve">kvaliteeti hinnatakse ja väärtuspunkte antakse </w:t>
      </w:r>
      <w:r w:rsidR="00DA577C">
        <w:rPr>
          <w:rFonts w:ascii="Times New Roman" w:eastAsiaTheme="minorEastAsia" w:hAnsi="Times New Roman" w:cs="Times New Roman"/>
          <w:color w:val="000000" w:themeColor="text1"/>
        </w:rPr>
        <w:t>järgmiselt</w:t>
      </w:r>
      <w:r w:rsidR="001F38F8">
        <w:rPr>
          <w:rFonts w:ascii="Times New Roman" w:eastAsiaTheme="minorEastAsia" w:hAnsi="Times New Roman" w:cs="Times New Roman"/>
          <w:color w:val="000000" w:themeColor="text1"/>
        </w:rPr>
        <w:t>:</w:t>
      </w:r>
      <w:r w:rsidR="66FC3E74" w:rsidRPr="00B11C1B">
        <w:rPr>
          <w:rFonts w:ascii="Times New Roman" w:eastAsiaTheme="minorEastAsia" w:hAnsi="Times New Roman" w:cs="Times New Roman"/>
          <w:color w:val="000000" w:themeColor="text1"/>
        </w:rPr>
        <w:t xml:space="preserve"> </w:t>
      </w:r>
    </w:p>
    <w:tbl>
      <w:tblPr>
        <w:tblStyle w:val="TableGrid"/>
        <w:tblW w:w="0" w:type="auto"/>
        <w:tblLook w:val="04A0" w:firstRow="1" w:lastRow="0" w:firstColumn="1" w:lastColumn="0" w:noHBand="0" w:noVBand="1"/>
      </w:tblPr>
      <w:tblGrid>
        <w:gridCol w:w="4606"/>
        <w:gridCol w:w="4606"/>
      </w:tblGrid>
      <w:tr w:rsidR="00AC2224" w14:paraId="25EA3BA5" w14:textId="77777777" w:rsidTr="008445A9">
        <w:tc>
          <w:tcPr>
            <w:tcW w:w="9212" w:type="dxa"/>
            <w:gridSpan w:val="2"/>
            <w:shd w:val="clear" w:color="auto" w:fill="DAE9F7" w:themeFill="text2" w:themeFillTint="1A"/>
          </w:tcPr>
          <w:p w14:paraId="72DAC9CE" w14:textId="7BAF5CD2" w:rsidR="006C3E1F" w:rsidRPr="008445A9" w:rsidRDefault="00AC2224" w:rsidP="008445A9">
            <w:pPr>
              <w:jc w:val="both"/>
              <w:rPr>
                <w:rFonts w:ascii="Times New Roman" w:hAnsi="Times New Roman" w:cs="Times New Roman"/>
                <w:b/>
                <w:bCs/>
              </w:rPr>
            </w:pPr>
            <w:r w:rsidRPr="008445A9">
              <w:rPr>
                <w:rFonts w:ascii="Times New Roman" w:hAnsi="Times New Roman" w:cs="Times New Roman"/>
                <w:b/>
                <w:bCs/>
              </w:rPr>
              <w:t>Projektiplaani</w:t>
            </w:r>
            <w:r w:rsidR="001F38F8" w:rsidRPr="008445A9">
              <w:rPr>
                <w:rFonts w:ascii="Times New Roman" w:hAnsi="Times New Roman" w:cs="Times New Roman"/>
                <w:b/>
                <w:bCs/>
              </w:rPr>
              <w:t xml:space="preserve"> hinnatakse kahe alakriteeriumi alusel</w:t>
            </w:r>
            <w:r w:rsidR="006C3E1F" w:rsidRPr="008445A9">
              <w:rPr>
                <w:rFonts w:ascii="Times New Roman" w:hAnsi="Times New Roman" w:cs="Times New Roman"/>
                <w:b/>
                <w:bCs/>
              </w:rPr>
              <w:t xml:space="preserve"> ning kahe alakriteeriumi alusel omistatud väärtuspunktid liidetakse.</w:t>
            </w:r>
          </w:p>
          <w:p w14:paraId="49C0F043" w14:textId="4F4220BA" w:rsidR="00AC2224" w:rsidRPr="008445A9" w:rsidRDefault="006C3E1F" w:rsidP="008445A9">
            <w:pPr>
              <w:jc w:val="both"/>
              <w:rPr>
                <w:rFonts w:ascii="Times New Roman" w:hAnsi="Times New Roman" w:cs="Times New Roman"/>
                <w:b/>
                <w:bCs/>
              </w:rPr>
            </w:pPr>
            <w:r w:rsidRPr="008445A9">
              <w:rPr>
                <w:rFonts w:ascii="Times New Roman" w:hAnsi="Times New Roman" w:cs="Times New Roman"/>
                <w:b/>
                <w:bCs/>
              </w:rPr>
              <w:t>H</w:t>
            </w:r>
            <w:r w:rsidR="001F38F8" w:rsidRPr="008445A9">
              <w:rPr>
                <w:rFonts w:ascii="Times New Roman" w:hAnsi="Times New Roman" w:cs="Times New Roman"/>
                <w:b/>
                <w:bCs/>
              </w:rPr>
              <w:t>indamiskriteeriumi</w:t>
            </w:r>
            <w:r w:rsidRPr="008445A9">
              <w:rPr>
                <w:rFonts w:ascii="Times New Roman" w:hAnsi="Times New Roman" w:cs="Times New Roman"/>
                <w:b/>
                <w:bCs/>
              </w:rPr>
              <w:t xml:space="preserve"> </w:t>
            </w:r>
            <w:r w:rsidR="001F38F8" w:rsidRPr="008445A9">
              <w:rPr>
                <w:rFonts w:ascii="Times New Roman" w:hAnsi="Times New Roman" w:cs="Times New Roman"/>
                <w:b/>
                <w:bCs/>
              </w:rPr>
              <w:t>Projektiplaan</w:t>
            </w:r>
            <w:r w:rsidR="00AC2224" w:rsidRPr="008445A9">
              <w:rPr>
                <w:rFonts w:ascii="Times New Roman" w:hAnsi="Times New Roman" w:cs="Times New Roman"/>
                <w:b/>
                <w:bCs/>
              </w:rPr>
              <w:t xml:space="preserve"> eest on võimalik </w:t>
            </w:r>
            <w:r w:rsidR="001F38F8" w:rsidRPr="008445A9">
              <w:rPr>
                <w:rFonts w:ascii="Times New Roman" w:hAnsi="Times New Roman" w:cs="Times New Roman"/>
                <w:b/>
                <w:bCs/>
              </w:rPr>
              <w:t xml:space="preserve">kahe alakriteeriumi lõikes </w:t>
            </w:r>
            <w:r w:rsidR="00AC2224" w:rsidRPr="008445A9">
              <w:rPr>
                <w:rFonts w:ascii="Times New Roman" w:hAnsi="Times New Roman" w:cs="Times New Roman"/>
                <w:b/>
                <w:bCs/>
              </w:rPr>
              <w:t xml:space="preserve">saada </w:t>
            </w:r>
            <w:r w:rsidR="001F38F8" w:rsidRPr="008445A9">
              <w:rPr>
                <w:rFonts w:ascii="Times New Roman" w:hAnsi="Times New Roman" w:cs="Times New Roman"/>
                <w:b/>
                <w:bCs/>
              </w:rPr>
              <w:t xml:space="preserve">kokku </w:t>
            </w:r>
            <w:r w:rsidR="00AC2224" w:rsidRPr="008445A9">
              <w:rPr>
                <w:rFonts w:ascii="Times New Roman" w:hAnsi="Times New Roman" w:cs="Times New Roman"/>
                <w:b/>
                <w:bCs/>
              </w:rPr>
              <w:t xml:space="preserve">maksimaalselt </w:t>
            </w:r>
            <w:r w:rsidR="00BA1CB3">
              <w:rPr>
                <w:rFonts w:ascii="Times New Roman" w:hAnsi="Times New Roman" w:cs="Times New Roman"/>
                <w:b/>
                <w:bCs/>
              </w:rPr>
              <w:t>2</w:t>
            </w:r>
            <w:r w:rsidR="00AC2224" w:rsidRPr="008445A9">
              <w:rPr>
                <w:rFonts w:ascii="Times New Roman" w:hAnsi="Times New Roman" w:cs="Times New Roman"/>
                <w:b/>
                <w:bCs/>
              </w:rPr>
              <w:t>0 punkti.</w:t>
            </w:r>
          </w:p>
          <w:p w14:paraId="4BF2350E" w14:textId="3C5958D7" w:rsidR="00AC2224" w:rsidRPr="001F38F8" w:rsidRDefault="00AC2224" w:rsidP="001F38F8">
            <w:pPr>
              <w:pStyle w:val="ListParagraph"/>
              <w:spacing w:line="360" w:lineRule="auto"/>
              <w:jc w:val="both"/>
              <w:rPr>
                <w:rFonts w:ascii="Times New Roman" w:hAnsi="Times New Roman" w:cs="Times New Roman"/>
                <w:b/>
                <w:bCs/>
              </w:rPr>
            </w:pPr>
          </w:p>
        </w:tc>
      </w:tr>
      <w:tr w:rsidR="00AC2224" w14:paraId="485CAC1D" w14:textId="77777777" w:rsidTr="00AC2224">
        <w:tc>
          <w:tcPr>
            <w:tcW w:w="4606" w:type="dxa"/>
          </w:tcPr>
          <w:p w14:paraId="06C4C587" w14:textId="5E2936E0" w:rsidR="0067754F" w:rsidRDefault="00AC2224" w:rsidP="0067754F">
            <w:pPr>
              <w:pStyle w:val="ListParagraph"/>
              <w:ind w:left="1074"/>
              <w:jc w:val="both"/>
              <w:rPr>
                <w:rFonts w:ascii="Times New Roman" w:hAnsi="Times New Roman" w:cs="Times New Roman"/>
              </w:rPr>
            </w:pPr>
            <w:r w:rsidRPr="001F38F8">
              <w:rPr>
                <w:rFonts w:ascii="Times New Roman" w:hAnsi="Times New Roman" w:cs="Times New Roman"/>
                <w:b/>
                <w:bCs/>
              </w:rPr>
              <w:t>Projektiplaani kirjeldus</w:t>
            </w:r>
            <w:r w:rsidR="001F38F8">
              <w:rPr>
                <w:rFonts w:ascii="Times New Roman" w:hAnsi="Times New Roman" w:cs="Times New Roman"/>
              </w:rPr>
              <w:t xml:space="preserve">  </w:t>
            </w:r>
          </w:p>
          <w:p w14:paraId="4C6B9AE6" w14:textId="6E2B070A" w:rsidR="0067754F" w:rsidRPr="0067754F" w:rsidRDefault="0067754F" w:rsidP="0067754F">
            <w:pPr>
              <w:pStyle w:val="ListParagraph"/>
              <w:ind w:left="142"/>
              <w:jc w:val="both"/>
              <w:rPr>
                <w:rFonts w:ascii="Times New Roman" w:hAnsi="Times New Roman" w:cs="Times New Roman"/>
              </w:rPr>
            </w:pPr>
            <w:r w:rsidRPr="0067754F">
              <w:rPr>
                <w:rFonts w:ascii="Times New Roman" w:hAnsi="Times New Roman" w:cs="Times New Roman"/>
              </w:rPr>
              <w:t>Peab sisaldama</w:t>
            </w:r>
            <w:r>
              <w:rPr>
                <w:rFonts w:ascii="Times New Roman" w:hAnsi="Times New Roman" w:cs="Times New Roman"/>
              </w:rPr>
              <w:t>:</w:t>
            </w:r>
            <w:r w:rsidRPr="0067754F">
              <w:rPr>
                <w:rFonts w:ascii="Times New Roman" w:hAnsi="Times New Roman" w:cs="Times New Roman"/>
              </w:rPr>
              <w:t xml:space="preserve"> </w:t>
            </w:r>
          </w:p>
          <w:p w14:paraId="57225680" w14:textId="145B1DBB" w:rsidR="0067754F" w:rsidRPr="0067754F" w:rsidRDefault="0067754F" w:rsidP="00C12C94">
            <w:pPr>
              <w:pStyle w:val="ListParagraph"/>
              <w:ind w:left="142"/>
              <w:jc w:val="both"/>
              <w:rPr>
                <w:rFonts w:ascii="Times New Roman" w:hAnsi="Times New Roman" w:cs="Times New Roman"/>
              </w:rPr>
            </w:pPr>
            <w:r w:rsidRPr="0067754F">
              <w:rPr>
                <w:rFonts w:ascii="Cambria Math" w:hAnsi="Cambria Math" w:cs="Cambria Math"/>
              </w:rPr>
              <w:t>⦁</w:t>
            </w:r>
            <w:r>
              <w:rPr>
                <w:rFonts w:ascii="Times New Roman" w:hAnsi="Times New Roman" w:cs="Times New Roman"/>
              </w:rPr>
              <w:t xml:space="preserve"> </w:t>
            </w:r>
            <w:r w:rsidRPr="0067754F">
              <w:rPr>
                <w:rFonts w:ascii="Times New Roman" w:hAnsi="Times New Roman" w:cs="Times New Roman"/>
              </w:rPr>
              <w:t xml:space="preserve">pakkuja visiooni, metoodika ja tegevuste kirjeldust; </w:t>
            </w:r>
          </w:p>
          <w:p w14:paraId="5B5D4A62" w14:textId="06904303" w:rsidR="0067754F" w:rsidRPr="0067754F" w:rsidRDefault="0067754F" w:rsidP="00C12C94">
            <w:pPr>
              <w:pStyle w:val="ListParagraph"/>
              <w:ind w:left="142"/>
              <w:jc w:val="both"/>
              <w:rPr>
                <w:rFonts w:ascii="Times New Roman" w:hAnsi="Times New Roman" w:cs="Times New Roman"/>
              </w:rPr>
            </w:pPr>
            <w:r w:rsidRPr="0067754F">
              <w:rPr>
                <w:rFonts w:ascii="Cambria Math" w:hAnsi="Cambria Math" w:cs="Cambria Math"/>
              </w:rPr>
              <w:t>⦁</w:t>
            </w:r>
            <w:r>
              <w:rPr>
                <w:rFonts w:ascii="Times New Roman" w:hAnsi="Times New Roman" w:cs="Times New Roman"/>
              </w:rPr>
              <w:t xml:space="preserve"> </w:t>
            </w:r>
            <w:r w:rsidRPr="0067754F">
              <w:rPr>
                <w:rFonts w:ascii="Times New Roman" w:hAnsi="Times New Roman" w:cs="Times New Roman"/>
              </w:rPr>
              <w:t xml:space="preserve">projekti ajakava nädala täpsusega, koos etappide ja vastutajatega; </w:t>
            </w:r>
          </w:p>
          <w:p w14:paraId="24FB824C" w14:textId="676786C8" w:rsidR="0067754F" w:rsidRPr="0067754F" w:rsidRDefault="0067754F" w:rsidP="00C12C94">
            <w:pPr>
              <w:pStyle w:val="ListParagraph"/>
              <w:ind w:left="142"/>
              <w:jc w:val="both"/>
              <w:rPr>
                <w:rFonts w:ascii="Times New Roman" w:hAnsi="Times New Roman" w:cs="Times New Roman"/>
              </w:rPr>
            </w:pPr>
            <w:r w:rsidRPr="0067754F">
              <w:rPr>
                <w:rFonts w:ascii="Cambria Math" w:hAnsi="Cambria Math" w:cs="Cambria Math"/>
              </w:rPr>
              <w:t>⦁</w:t>
            </w:r>
            <w:r>
              <w:rPr>
                <w:rFonts w:ascii="Times New Roman" w:hAnsi="Times New Roman" w:cs="Times New Roman"/>
              </w:rPr>
              <w:t xml:space="preserve"> </w:t>
            </w:r>
            <w:r w:rsidRPr="0067754F">
              <w:rPr>
                <w:rFonts w:ascii="Times New Roman" w:hAnsi="Times New Roman" w:cs="Times New Roman"/>
              </w:rPr>
              <w:t xml:space="preserve">meeskonnaliikmete rollide kirjeldust; </w:t>
            </w:r>
          </w:p>
          <w:p w14:paraId="25FEEF73" w14:textId="57E7FE6A" w:rsidR="00AC2224" w:rsidRDefault="0067754F" w:rsidP="00C12C94">
            <w:pPr>
              <w:ind w:left="142"/>
              <w:jc w:val="both"/>
              <w:rPr>
                <w:rFonts w:ascii="Times New Roman" w:hAnsi="Times New Roman" w:cs="Times New Roman"/>
              </w:rPr>
            </w:pPr>
            <w:r w:rsidRPr="0067754F">
              <w:rPr>
                <w:rFonts w:ascii="Cambria Math" w:hAnsi="Cambria Math" w:cs="Cambria Math"/>
              </w:rPr>
              <w:t>⦁</w:t>
            </w:r>
            <w:r>
              <w:rPr>
                <w:rFonts w:ascii="Cambria Math" w:hAnsi="Cambria Math" w:cs="Cambria Math"/>
              </w:rPr>
              <w:t xml:space="preserve"> </w:t>
            </w:r>
            <w:r w:rsidRPr="0067754F">
              <w:rPr>
                <w:rFonts w:ascii="Times New Roman" w:hAnsi="Times New Roman" w:cs="Times New Roman"/>
              </w:rPr>
              <w:t>projekti eelarvet, mis selgitab kulude tekkimist tegevuste või etappide kaupa</w:t>
            </w:r>
          </w:p>
        </w:tc>
        <w:tc>
          <w:tcPr>
            <w:tcW w:w="4606" w:type="dxa"/>
          </w:tcPr>
          <w:p w14:paraId="4034E5B2" w14:textId="0A1056AC" w:rsidR="00AC2224" w:rsidRDefault="00AC2224" w:rsidP="00AB6BF9">
            <w:pPr>
              <w:spacing w:line="360" w:lineRule="auto"/>
              <w:jc w:val="center"/>
              <w:rPr>
                <w:rFonts w:ascii="Times New Roman" w:hAnsi="Times New Roman" w:cs="Times New Roman"/>
              </w:rPr>
            </w:pPr>
            <w:r>
              <w:rPr>
                <w:rFonts w:ascii="Times New Roman" w:hAnsi="Times New Roman" w:cs="Times New Roman"/>
              </w:rPr>
              <w:t xml:space="preserve">Maksimaalselt </w:t>
            </w:r>
            <w:r w:rsidR="00BA1CB3">
              <w:rPr>
                <w:rFonts w:ascii="Times New Roman" w:hAnsi="Times New Roman" w:cs="Times New Roman"/>
              </w:rPr>
              <w:t>1</w:t>
            </w:r>
            <w:r>
              <w:rPr>
                <w:rFonts w:ascii="Times New Roman" w:hAnsi="Times New Roman" w:cs="Times New Roman"/>
              </w:rPr>
              <w:t>5 punkti</w:t>
            </w:r>
          </w:p>
        </w:tc>
      </w:tr>
      <w:tr w:rsidR="00AC2224" w14:paraId="055CFA4E" w14:textId="77777777" w:rsidTr="00AC2224">
        <w:tc>
          <w:tcPr>
            <w:tcW w:w="4606" w:type="dxa"/>
          </w:tcPr>
          <w:p w14:paraId="2643B532" w14:textId="317E7A7E" w:rsidR="00AC2224" w:rsidRPr="001F38F8" w:rsidRDefault="00AC2224" w:rsidP="0067754F">
            <w:pPr>
              <w:pStyle w:val="ListParagraph"/>
              <w:spacing w:line="360" w:lineRule="auto"/>
              <w:ind w:left="1074"/>
              <w:jc w:val="both"/>
              <w:rPr>
                <w:rFonts w:ascii="Times New Roman" w:hAnsi="Times New Roman" w:cs="Times New Roman"/>
                <w:b/>
                <w:bCs/>
              </w:rPr>
            </w:pPr>
            <w:r w:rsidRPr="001F38F8">
              <w:rPr>
                <w:rFonts w:ascii="Times New Roman" w:hAnsi="Times New Roman" w:cs="Times New Roman"/>
                <w:b/>
                <w:bCs/>
              </w:rPr>
              <w:t>Projekti riskianalüüs</w:t>
            </w:r>
          </w:p>
        </w:tc>
        <w:tc>
          <w:tcPr>
            <w:tcW w:w="4606" w:type="dxa"/>
          </w:tcPr>
          <w:p w14:paraId="0E8AFEC8" w14:textId="04494A3C" w:rsidR="00AC2224" w:rsidRDefault="001F38F8" w:rsidP="00AB6BF9">
            <w:pPr>
              <w:spacing w:line="360" w:lineRule="auto"/>
              <w:jc w:val="center"/>
              <w:rPr>
                <w:rFonts w:ascii="Times New Roman" w:hAnsi="Times New Roman" w:cs="Times New Roman"/>
              </w:rPr>
            </w:pPr>
            <w:r>
              <w:rPr>
                <w:rFonts w:ascii="Times New Roman" w:hAnsi="Times New Roman" w:cs="Times New Roman"/>
              </w:rPr>
              <w:t>M</w:t>
            </w:r>
            <w:r w:rsidR="00AC2224">
              <w:rPr>
                <w:rFonts w:ascii="Times New Roman" w:hAnsi="Times New Roman" w:cs="Times New Roman"/>
              </w:rPr>
              <w:t>aksimaalselt 5 punkti</w:t>
            </w:r>
          </w:p>
        </w:tc>
      </w:tr>
    </w:tbl>
    <w:p w14:paraId="3F0EEDB5" w14:textId="77777777" w:rsidR="00AC2224" w:rsidRDefault="00AC2224" w:rsidP="00B11C1B">
      <w:pPr>
        <w:jc w:val="both"/>
        <w:rPr>
          <w:rFonts w:ascii="Times New Roman" w:hAnsi="Times New Roman" w:cs="Times New Roman"/>
        </w:rPr>
      </w:pPr>
    </w:p>
    <w:p w14:paraId="59E63911" w14:textId="21B03647" w:rsidR="112BE366" w:rsidRPr="008445A9" w:rsidRDefault="00AC2224" w:rsidP="00B11C1B">
      <w:pPr>
        <w:jc w:val="both"/>
        <w:rPr>
          <w:rFonts w:ascii="Times New Roman" w:hAnsi="Times New Roman" w:cs="Times New Roman"/>
          <w:b/>
          <w:bCs/>
        </w:rPr>
      </w:pPr>
      <w:r w:rsidRPr="008445A9">
        <w:rPr>
          <w:rFonts w:ascii="Times New Roman" w:hAnsi="Times New Roman" w:cs="Times New Roman"/>
          <w:b/>
          <w:bCs/>
        </w:rPr>
        <w:t>Hindamiskritee</w:t>
      </w:r>
      <w:r w:rsidR="00EF3774" w:rsidRPr="008445A9">
        <w:rPr>
          <w:rFonts w:ascii="Times New Roman" w:hAnsi="Times New Roman" w:cs="Times New Roman"/>
          <w:b/>
          <w:bCs/>
        </w:rPr>
        <w:t>ri</w:t>
      </w:r>
      <w:r w:rsidRPr="008445A9">
        <w:rPr>
          <w:rFonts w:ascii="Times New Roman" w:hAnsi="Times New Roman" w:cs="Times New Roman"/>
          <w:b/>
          <w:bCs/>
        </w:rPr>
        <w:t xml:space="preserve">umi </w:t>
      </w:r>
      <w:r w:rsidR="00EF3774" w:rsidRPr="008445A9">
        <w:rPr>
          <w:rFonts w:ascii="Times New Roman" w:hAnsi="Times New Roman" w:cs="Times New Roman"/>
          <w:b/>
          <w:bCs/>
        </w:rPr>
        <w:t>P</w:t>
      </w:r>
      <w:r w:rsidR="112BE366" w:rsidRPr="008445A9">
        <w:rPr>
          <w:rFonts w:ascii="Times New Roman" w:hAnsi="Times New Roman" w:cs="Times New Roman"/>
          <w:b/>
          <w:bCs/>
        </w:rPr>
        <w:t xml:space="preserve">rojektiplaani eest </w:t>
      </w:r>
      <w:r w:rsidR="00DA577C">
        <w:rPr>
          <w:rFonts w:ascii="Times New Roman" w:hAnsi="Times New Roman" w:cs="Times New Roman"/>
          <w:b/>
          <w:bCs/>
        </w:rPr>
        <w:t>antakse väärtuspunkte</w:t>
      </w:r>
      <w:r w:rsidR="00EF3774" w:rsidRPr="008445A9">
        <w:rPr>
          <w:rFonts w:ascii="Times New Roman" w:hAnsi="Times New Roman" w:cs="Times New Roman"/>
          <w:b/>
          <w:bCs/>
        </w:rPr>
        <w:t xml:space="preserve"> järgnevalt</w:t>
      </w:r>
      <w:r w:rsidR="00DA577C">
        <w:rPr>
          <w:rFonts w:ascii="Times New Roman" w:hAnsi="Times New Roman" w:cs="Times New Roman"/>
          <w:b/>
          <w:bCs/>
        </w:rPr>
        <w:t>:</w:t>
      </w:r>
    </w:p>
    <w:p w14:paraId="6D982CA8" w14:textId="20BF5775" w:rsidR="006D16CA" w:rsidRPr="00EF3774" w:rsidRDefault="00741FEB" w:rsidP="00B11C1B">
      <w:pPr>
        <w:jc w:val="both"/>
        <w:rPr>
          <w:rFonts w:ascii="Times New Roman" w:hAnsi="Times New Roman" w:cs="Times New Roman"/>
          <w:b/>
          <w:bCs/>
        </w:rPr>
      </w:pPr>
      <w:r>
        <w:rPr>
          <w:rFonts w:ascii="Times New Roman" w:hAnsi="Times New Roman" w:cs="Times New Roman"/>
          <w:b/>
          <w:bCs/>
        </w:rPr>
        <w:t xml:space="preserve">6.1. </w:t>
      </w:r>
      <w:r w:rsidR="006D16CA" w:rsidRPr="00EF3774">
        <w:rPr>
          <w:rFonts w:ascii="Times New Roman" w:hAnsi="Times New Roman" w:cs="Times New Roman"/>
          <w:b/>
          <w:bCs/>
        </w:rPr>
        <w:t>Alakriteerium: Projektiplaani kirjeldus</w:t>
      </w:r>
    </w:p>
    <w:tbl>
      <w:tblPr>
        <w:tblStyle w:val="TableGrid"/>
        <w:tblW w:w="9039" w:type="dxa"/>
        <w:tblLayout w:type="fixed"/>
        <w:tblLook w:val="06A0" w:firstRow="1" w:lastRow="0" w:firstColumn="1" w:lastColumn="0" w:noHBand="1" w:noVBand="1"/>
      </w:tblPr>
      <w:tblGrid>
        <w:gridCol w:w="7763"/>
        <w:gridCol w:w="1276"/>
      </w:tblGrid>
      <w:tr w:rsidR="00EF3774" w:rsidRPr="00814666" w14:paraId="74868EF7" w14:textId="77777777" w:rsidTr="008445A9">
        <w:trPr>
          <w:trHeight w:val="773"/>
        </w:trPr>
        <w:tc>
          <w:tcPr>
            <w:tcW w:w="7763" w:type="dxa"/>
            <w:shd w:val="clear" w:color="auto" w:fill="DAE9F7" w:themeFill="text2" w:themeFillTint="1A"/>
          </w:tcPr>
          <w:p w14:paraId="3778F058" w14:textId="77777777" w:rsidR="00EF3774" w:rsidRPr="00EF3774" w:rsidRDefault="00EF3774" w:rsidP="00EF3774">
            <w:pPr>
              <w:jc w:val="center"/>
              <w:rPr>
                <w:rFonts w:ascii="Times New Roman" w:hAnsi="Times New Roman" w:cs="Times New Roman"/>
                <w:b/>
                <w:bCs/>
              </w:rPr>
            </w:pPr>
          </w:p>
          <w:p w14:paraId="149CE6CA" w14:textId="77777777" w:rsidR="00EF3774" w:rsidRPr="00EF3774" w:rsidRDefault="00EF3774" w:rsidP="00EF3774">
            <w:pPr>
              <w:jc w:val="center"/>
              <w:rPr>
                <w:rFonts w:ascii="Times New Roman" w:hAnsi="Times New Roman" w:cs="Times New Roman"/>
                <w:b/>
                <w:bCs/>
              </w:rPr>
            </w:pPr>
          </w:p>
          <w:p w14:paraId="0672FC07" w14:textId="085DE167" w:rsidR="00EF3774" w:rsidRPr="00EF3774" w:rsidRDefault="00EF3774" w:rsidP="00EF3774">
            <w:pPr>
              <w:jc w:val="center"/>
              <w:rPr>
                <w:rFonts w:ascii="Times New Roman" w:hAnsi="Times New Roman" w:cs="Times New Roman"/>
                <w:b/>
                <w:bCs/>
              </w:rPr>
            </w:pPr>
            <w:r w:rsidRPr="00EF3774">
              <w:rPr>
                <w:rFonts w:ascii="Times New Roman" w:hAnsi="Times New Roman" w:cs="Times New Roman"/>
                <w:b/>
                <w:bCs/>
              </w:rPr>
              <w:t>Hindamismetoodika kirjeldus</w:t>
            </w:r>
          </w:p>
        </w:tc>
        <w:tc>
          <w:tcPr>
            <w:tcW w:w="1276" w:type="dxa"/>
            <w:shd w:val="clear" w:color="auto" w:fill="DAE9F7" w:themeFill="text2" w:themeFillTint="1A"/>
          </w:tcPr>
          <w:p w14:paraId="0D3B959F" w14:textId="77777777" w:rsidR="00EF3774" w:rsidRPr="00EF3774" w:rsidRDefault="00EF3774" w:rsidP="00EF3774">
            <w:pPr>
              <w:jc w:val="center"/>
              <w:rPr>
                <w:rFonts w:ascii="Times New Roman" w:hAnsi="Times New Roman" w:cs="Times New Roman"/>
                <w:b/>
                <w:bCs/>
              </w:rPr>
            </w:pPr>
          </w:p>
          <w:p w14:paraId="043B5DB5" w14:textId="29C072BD" w:rsidR="00EF3774" w:rsidRPr="00EF3774" w:rsidRDefault="00EF3774" w:rsidP="00EF3774">
            <w:pPr>
              <w:jc w:val="center"/>
              <w:rPr>
                <w:rFonts w:ascii="Times New Roman" w:hAnsi="Times New Roman" w:cs="Times New Roman"/>
                <w:b/>
                <w:bCs/>
              </w:rPr>
            </w:pPr>
            <w:r w:rsidRPr="00EF3774">
              <w:rPr>
                <w:rFonts w:ascii="Times New Roman" w:hAnsi="Times New Roman" w:cs="Times New Roman"/>
                <w:b/>
                <w:bCs/>
              </w:rPr>
              <w:t>Väärtus</w:t>
            </w:r>
            <w:r w:rsidR="006C3E1F">
              <w:rPr>
                <w:rFonts w:ascii="Times New Roman" w:hAnsi="Times New Roman" w:cs="Times New Roman"/>
                <w:b/>
                <w:bCs/>
              </w:rPr>
              <w:t>-</w:t>
            </w:r>
            <w:r w:rsidRPr="00EF3774">
              <w:rPr>
                <w:rFonts w:ascii="Times New Roman" w:hAnsi="Times New Roman" w:cs="Times New Roman"/>
                <w:b/>
                <w:bCs/>
              </w:rPr>
              <w:t>punktide arv</w:t>
            </w:r>
          </w:p>
        </w:tc>
      </w:tr>
      <w:tr w:rsidR="6AAE56E9" w:rsidRPr="00814666" w14:paraId="0A2F8700" w14:textId="77777777" w:rsidTr="006C3E1F">
        <w:trPr>
          <w:trHeight w:val="1425"/>
        </w:trPr>
        <w:tc>
          <w:tcPr>
            <w:tcW w:w="7763" w:type="dxa"/>
          </w:tcPr>
          <w:p w14:paraId="7EDDA93D" w14:textId="4A3EB2D2" w:rsidR="00270423" w:rsidRPr="006C3E1F" w:rsidRDefault="1C5D2740" w:rsidP="000802B7">
            <w:pPr>
              <w:jc w:val="both"/>
              <w:rPr>
                <w:rFonts w:ascii="Times New Roman" w:hAnsi="Times New Roman" w:cs="Times New Roman"/>
              </w:rPr>
            </w:pPr>
            <w:r w:rsidRPr="00B11C1B">
              <w:rPr>
                <w:rFonts w:ascii="Times New Roman" w:hAnsi="Times New Roman" w:cs="Times New Roman"/>
              </w:rPr>
              <w:t>Projektiplaan</w:t>
            </w:r>
            <w:r w:rsidR="006D16CA">
              <w:rPr>
                <w:rFonts w:ascii="Times New Roman" w:hAnsi="Times New Roman" w:cs="Times New Roman"/>
              </w:rPr>
              <w:t>i kirjeldus</w:t>
            </w:r>
            <w:r w:rsidRPr="00B11C1B">
              <w:rPr>
                <w:rFonts w:ascii="Times New Roman" w:hAnsi="Times New Roman" w:cs="Times New Roman"/>
              </w:rPr>
              <w:t xml:space="preserve"> </w:t>
            </w:r>
            <w:r w:rsidR="587CBE4B" w:rsidRPr="00B11C1B">
              <w:rPr>
                <w:rFonts w:ascii="Times New Roman" w:hAnsi="Times New Roman" w:cs="Times New Roman"/>
              </w:rPr>
              <w:t xml:space="preserve">on loogiline, </w:t>
            </w:r>
            <w:r w:rsidR="025B2EA2" w:rsidRPr="00B11C1B">
              <w:rPr>
                <w:rFonts w:ascii="Times New Roman" w:hAnsi="Times New Roman" w:cs="Times New Roman"/>
              </w:rPr>
              <w:t>põhjendatud</w:t>
            </w:r>
            <w:r w:rsidR="000802B7">
              <w:rPr>
                <w:rFonts w:ascii="Times New Roman" w:hAnsi="Times New Roman" w:cs="Times New Roman"/>
              </w:rPr>
              <w:t xml:space="preserve"> ning</w:t>
            </w:r>
            <w:r w:rsidR="025B2EA2" w:rsidRPr="00B11C1B">
              <w:rPr>
                <w:rFonts w:ascii="Times New Roman" w:hAnsi="Times New Roman" w:cs="Times New Roman"/>
              </w:rPr>
              <w:t xml:space="preserve"> </w:t>
            </w:r>
            <w:r w:rsidR="000802B7" w:rsidRPr="000802B7">
              <w:rPr>
                <w:rFonts w:ascii="Times New Roman" w:hAnsi="Times New Roman" w:cs="Times New Roman"/>
              </w:rPr>
              <w:t xml:space="preserve">tellija vaates ratsionaalne </w:t>
            </w:r>
            <w:r w:rsidR="000802B7" w:rsidRPr="006C3E1F">
              <w:rPr>
                <w:rFonts w:ascii="Times New Roman" w:hAnsi="Times New Roman" w:cs="Times New Roman"/>
              </w:rPr>
              <w:t xml:space="preserve">ja realistlik, põhjalikult läbi mõeldud ja detailselt kirjeldatud, sh: välja on toodud konkreetsed etapid ja (ala)tegevused ning nende peamised vastutajad ja läbiviija(d). Kajastatud on kõik meeskonna kirjelduses esitatud liikmed ning selgitatud meeskonnaliikmete </w:t>
            </w:r>
            <w:r w:rsidR="00DD032C" w:rsidRPr="006C3E1F">
              <w:rPr>
                <w:rFonts w:ascii="Times New Roman" w:hAnsi="Times New Roman" w:cs="Times New Roman"/>
              </w:rPr>
              <w:t xml:space="preserve">rolle ja </w:t>
            </w:r>
            <w:r w:rsidR="000802B7" w:rsidRPr="006C3E1F">
              <w:rPr>
                <w:rFonts w:ascii="Times New Roman" w:hAnsi="Times New Roman" w:cs="Times New Roman"/>
              </w:rPr>
              <w:t>panust erinevates arenduse etappides</w:t>
            </w:r>
            <w:r w:rsidR="00AC2224" w:rsidRPr="006C3E1F">
              <w:rPr>
                <w:rFonts w:ascii="Times New Roman" w:hAnsi="Times New Roman" w:cs="Times New Roman"/>
              </w:rPr>
              <w:t xml:space="preserve"> ning märgitud vastutajad</w:t>
            </w:r>
            <w:r w:rsidR="000802B7" w:rsidRPr="006C3E1F">
              <w:rPr>
                <w:rFonts w:ascii="Times New Roman" w:hAnsi="Times New Roman" w:cs="Times New Roman"/>
              </w:rPr>
              <w:t xml:space="preserve"> </w:t>
            </w:r>
            <w:r w:rsidR="00270423" w:rsidRPr="006C3E1F">
              <w:rPr>
                <w:rFonts w:ascii="Times New Roman" w:hAnsi="Times New Roman" w:cs="Times New Roman"/>
              </w:rPr>
              <w:t xml:space="preserve">Pakutud </w:t>
            </w:r>
            <w:r w:rsidR="00AD10EA" w:rsidRPr="006C3E1F">
              <w:rPr>
                <w:rFonts w:ascii="Times New Roman" w:hAnsi="Times New Roman" w:cs="Times New Roman"/>
              </w:rPr>
              <w:t xml:space="preserve">projekti </w:t>
            </w:r>
            <w:r w:rsidR="00270423" w:rsidRPr="006C3E1F">
              <w:rPr>
                <w:rFonts w:ascii="Times New Roman" w:hAnsi="Times New Roman" w:cs="Times New Roman"/>
              </w:rPr>
              <w:t>aja- ja tegevuskava on hankelepingu nõuetekohaseks täitmiseks mõistlik ja objektiivselt põhjendatud</w:t>
            </w:r>
            <w:r w:rsidR="00AC2224" w:rsidRPr="006C3E1F">
              <w:rPr>
                <w:rFonts w:ascii="Times New Roman" w:hAnsi="Times New Roman" w:cs="Times New Roman"/>
              </w:rPr>
              <w:t xml:space="preserve"> Projekti eelarve on </w:t>
            </w:r>
            <w:r w:rsidR="006D16CA" w:rsidRPr="006C3E1F">
              <w:rPr>
                <w:rFonts w:ascii="Times New Roman" w:hAnsi="Times New Roman" w:cs="Times New Roman"/>
              </w:rPr>
              <w:t>esitatud detailselt ning kajastab selgelt</w:t>
            </w:r>
            <w:r w:rsidR="00AC2224" w:rsidRPr="006C3E1F">
              <w:rPr>
                <w:rFonts w:ascii="Times New Roman" w:hAnsi="Times New Roman" w:cs="Times New Roman"/>
              </w:rPr>
              <w:t xml:space="preserve"> esitatud kulude tekkimine tegevuste ja/või etappide kaupa.</w:t>
            </w:r>
          </w:p>
          <w:p w14:paraId="0389534B" w14:textId="77777777" w:rsidR="00FB27A6" w:rsidRDefault="00FB27A6" w:rsidP="006C3E1F">
            <w:pPr>
              <w:autoSpaceDE w:val="0"/>
              <w:autoSpaceDN w:val="0"/>
              <w:adjustRightInd w:val="0"/>
              <w:jc w:val="both"/>
              <w:rPr>
                <w:rFonts w:ascii="Times New Roman" w:hAnsi="Times New Roman" w:cs="Times New Roman"/>
                <w:b/>
                <w:bCs/>
                <w:color w:val="000000" w:themeColor="text1"/>
              </w:rPr>
            </w:pPr>
            <w:r w:rsidRPr="006C3E1F">
              <w:rPr>
                <w:rFonts w:ascii="Times New Roman" w:hAnsi="Times New Roman" w:cs="Times New Roman"/>
                <w:b/>
                <w:bCs/>
                <w:color w:val="000000" w:themeColor="text1"/>
              </w:rPr>
              <w:t>Vastab täielikult riigihanke alusdokumentides kirjeldatud  tellija ootustele.</w:t>
            </w:r>
          </w:p>
          <w:p w14:paraId="2E23236E" w14:textId="412E0139" w:rsidR="006C3E1F" w:rsidRPr="00B11C1B" w:rsidRDefault="006C3E1F" w:rsidP="006C3E1F">
            <w:pPr>
              <w:autoSpaceDE w:val="0"/>
              <w:autoSpaceDN w:val="0"/>
              <w:adjustRightInd w:val="0"/>
              <w:jc w:val="both"/>
              <w:rPr>
                <w:rFonts w:ascii="Times New Roman" w:hAnsi="Times New Roman" w:cs="Times New Roman"/>
              </w:rPr>
            </w:pPr>
          </w:p>
        </w:tc>
        <w:tc>
          <w:tcPr>
            <w:tcW w:w="1276" w:type="dxa"/>
            <w:vAlign w:val="center"/>
          </w:tcPr>
          <w:p w14:paraId="603483C6" w14:textId="386D28B9" w:rsidR="6AAE56E9" w:rsidRPr="00B11C1B" w:rsidRDefault="00BA1CB3" w:rsidP="006C3E1F">
            <w:pPr>
              <w:jc w:val="center"/>
              <w:rPr>
                <w:rFonts w:ascii="Times New Roman" w:hAnsi="Times New Roman" w:cs="Times New Roman"/>
              </w:rPr>
            </w:pPr>
            <w:r>
              <w:rPr>
                <w:rFonts w:ascii="Times New Roman" w:hAnsi="Times New Roman" w:cs="Times New Roman"/>
                <w:b/>
                <w:bCs/>
              </w:rPr>
              <w:t>15</w:t>
            </w:r>
          </w:p>
        </w:tc>
      </w:tr>
      <w:tr w:rsidR="6AAE56E9" w:rsidRPr="00814666" w14:paraId="41991421" w14:textId="77777777" w:rsidTr="006C3E1F">
        <w:trPr>
          <w:trHeight w:val="300"/>
        </w:trPr>
        <w:tc>
          <w:tcPr>
            <w:tcW w:w="7763" w:type="dxa"/>
          </w:tcPr>
          <w:p w14:paraId="232BCBB8" w14:textId="046F1BCE" w:rsidR="000802B7" w:rsidRPr="000802B7" w:rsidRDefault="000802B7" w:rsidP="000802B7">
            <w:pPr>
              <w:jc w:val="both"/>
              <w:rPr>
                <w:rFonts w:ascii="Times New Roman" w:hAnsi="Times New Roman" w:cs="Times New Roman"/>
              </w:rPr>
            </w:pPr>
            <w:r>
              <w:rPr>
                <w:rFonts w:ascii="Times New Roman" w:hAnsi="Times New Roman" w:cs="Times New Roman"/>
              </w:rPr>
              <w:t xml:space="preserve">Projektiplaan on </w:t>
            </w:r>
            <w:r w:rsidRPr="000802B7">
              <w:rPr>
                <w:rFonts w:ascii="Times New Roman" w:hAnsi="Times New Roman" w:cs="Times New Roman"/>
              </w:rPr>
              <w:t>tellija vaates üldiselt ratsionaalne ja realistlik</w:t>
            </w:r>
            <w:r w:rsidR="00DD032C">
              <w:rPr>
                <w:rFonts w:ascii="Times New Roman" w:hAnsi="Times New Roman" w:cs="Times New Roman"/>
              </w:rPr>
              <w:t xml:space="preserve"> ning</w:t>
            </w:r>
            <w:r w:rsidRPr="000802B7">
              <w:rPr>
                <w:rFonts w:ascii="Times New Roman" w:hAnsi="Times New Roman" w:cs="Times New Roman"/>
              </w:rPr>
              <w:t xml:space="preserve"> olulises osas läbi mõeldud ja kirjeldatud</w:t>
            </w:r>
            <w:r w:rsidR="00FF7E66">
              <w:rPr>
                <w:rFonts w:ascii="Times New Roman" w:hAnsi="Times New Roman" w:cs="Times New Roman"/>
              </w:rPr>
              <w:t>.</w:t>
            </w:r>
          </w:p>
          <w:p w14:paraId="5D064DF0" w14:textId="7FFE5694" w:rsidR="000802B7" w:rsidRPr="000802B7" w:rsidRDefault="00DD032C" w:rsidP="00FB27A6">
            <w:pPr>
              <w:jc w:val="both"/>
              <w:rPr>
                <w:rFonts w:ascii="Times New Roman" w:hAnsi="Times New Roman" w:cs="Times New Roman"/>
              </w:rPr>
            </w:pPr>
            <w:r>
              <w:rPr>
                <w:rFonts w:ascii="Times New Roman" w:hAnsi="Times New Roman" w:cs="Times New Roman"/>
              </w:rPr>
              <w:t>Projektiplaani t</w:t>
            </w:r>
            <w:r w:rsidR="000802B7" w:rsidRPr="000802B7">
              <w:rPr>
                <w:rFonts w:ascii="Times New Roman" w:hAnsi="Times New Roman" w:cs="Times New Roman"/>
              </w:rPr>
              <w:t xml:space="preserve">egevus- ja ajakavas </w:t>
            </w:r>
            <w:r>
              <w:rPr>
                <w:rFonts w:ascii="Times New Roman" w:hAnsi="Times New Roman" w:cs="Times New Roman"/>
              </w:rPr>
              <w:t xml:space="preserve">võib esindada </w:t>
            </w:r>
            <w:r w:rsidR="000802B7" w:rsidRPr="000802B7">
              <w:rPr>
                <w:rFonts w:ascii="Times New Roman" w:hAnsi="Times New Roman" w:cs="Times New Roman"/>
              </w:rPr>
              <w:t>väheolulisi, mittesisulisi puudusi või küsitavusi konkreetsete etappide ja (ala)tegevuste ning nende peamise vastutaja ja läbiviija(te) kirjelduses</w:t>
            </w:r>
            <w:r>
              <w:rPr>
                <w:rFonts w:ascii="Times New Roman" w:hAnsi="Times New Roman" w:cs="Times New Roman"/>
              </w:rPr>
              <w:t xml:space="preserve"> või</w:t>
            </w:r>
            <w:r w:rsidR="000802B7" w:rsidRPr="000802B7">
              <w:rPr>
                <w:rFonts w:ascii="Times New Roman" w:hAnsi="Times New Roman" w:cs="Times New Roman"/>
              </w:rPr>
              <w:t xml:space="preserve"> meeskonnaliikmete panuses  erinevates etappides.</w:t>
            </w:r>
          </w:p>
          <w:p w14:paraId="7B03761B" w14:textId="1C1C2EC2" w:rsidR="00AD10EA" w:rsidRDefault="000802B7" w:rsidP="000802B7">
            <w:pPr>
              <w:jc w:val="both"/>
              <w:rPr>
                <w:rFonts w:ascii="Times New Roman" w:hAnsi="Times New Roman" w:cs="Times New Roman"/>
              </w:rPr>
            </w:pPr>
            <w:r w:rsidRPr="000802B7">
              <w:rPr>
                <w:rFonts w:ascii="Times New Roman" w:hAnsi="Times New Roman" w:cs="Times New Roman"/>
              </w:rPr>
              <w:t xml:space="preserve">Pakutud aja- ja tegevuskava on hankelepingu nõuetekohaseks täitmiseks mõistlik ja objektiivselt põhjendatud. Aja- ja tegevuskavas </w:t>
            </w:r>
            <w:r w:rsidR="006D16CA">
              <w:rPr>
                <w:rFonts w:ascii="Times New Roman" w:hAnsi="Times New Roman" w:cs="Times New Roman"/>
              </w:rPr>
              <w:t>esinevad</w:t>
            </w:r>
            <w:r w:rsidR="00926D8D" w:rsidRPr="000802B7">
              <w:rPr>
                <w:rFonts w:ascii="Times New Roman" w:hAnsi="Times New Roman" w:cs="Times New Roman"/>
              </w:rPr>
              <w:t xml:space="preserve"> </w:t>
            </w:r>
            <w:proofErr w:type="spellStart"/>
            <w:r w:rsidRPr="000802B7">
              <w:rPr>
                <w:rFonts w:ascii="Times New Roman" w:hAnsi="Times New Roman" w:cs="Times New Roman"/>
              </w:rPr>
              <w:t>pisidetailide</w:t>
            </w:r>
            <w:proofErr w:type="spellEnd"/>
            <w:r w:rsidRPr="000802B7">
              <w:rPr>
                <w:rFonts w:ascii="Times New Roman" w:hAnsi="Times New Roman" w:cs="Times New Roman"/>
              </w:rPr>
              <w:t xml:space="preserve"> osas üksikud mittepõhimõttelised puudujäägid ja/või ebatäpsused</w:t>
            </w:r>
            <w:r w:rsidR="00926D8D">
              <w:rPr>
                <w:rFonts w:ascii="Times New Roman" w:hAnsi="Times New Roman" w:cs="Times New Roman"/>
              </w:rPr>
              <w:t>, kuid need ei ole sisulised.</w:t>
            </w:r>
            <w:r w:rsidR="006D16CA">
              <w:rPr>
                <w:rFonts w:ascii="Times New Roman" w:hAnsi="Times New Roman" w:cs="Times New Roman"/>
              </w:rPr>
              <w:t xml:space="preserve"> Projekti eelarve on esitatud selgelt või olulises osas selgelt ning annab ülevaate kulude tekkimisest tegevuste/ja/või etappide kaupa.</w:t>
            </w:r>
          </w:p>
          <w:p w14:paraId="0498D874" w14:textId="36477AEA" w:rsidR="00AD10EA" w:rsidRPr="00EF3774" w:rsidRDefault="00AD10EA" w:rsidP="000802B7">
            <w:pPr>
              <w:jc w:val="both"/>
              <w:rPr>
                <w:rFonts w:ascii="Times New Roman" w:hAnsi="Times New Roman" w:cs="Times New Roman"/>
                <w:b/>
                <w:bCs/>
              </w:rPr>
            </w:pPr>
            <w:r w:rsidRPr="00EF3774">
              <w:rPr>
                <w:rFonts w:ascii="Times New Roman" w:hAnsi="Times New Roman" w:cs="Times New Roman"/>
                <w:b/>
                <w:bCs/>
              </w:rPr>
              <w:t>Vastab üle keskmise riigihanke alusdokumentides kirjeldatud tellija ootustele.</w:t>
            </w:r>
          </w:p>
          <w:p w14:paraId="5761E6A3" w14:textId="2721755C" w:rsidR="000802B7" w:rsidRPr="00B11C1B" w:rsidRDefault="000802B7" w:rsidP="00B11C1B">
            <w:pPr>
              <w:jc w:val="both"/>
              <w:rPr>
                <w:rFonts w:ascii="Times New Roman" w:hAnsi="Times New Roman" w:cs="Times New Roman"/>
              </w:rPr>
            </w:pPr>
          </w:p>
        </w:tc>
        <w:tc>
          <w:tcPr>
            <w:tcW w:w="1276" w:type="dxa"/>
            <w:vAlign w:val="center"/>
          </w:tcPr>
          <w:p w14:paraId="3931CD3A" w14:textId="3A2DF4CB" w:rsidR="6AAE56E9" w:rsidRPr="00B11C1B" w:rsidRDefault="00AD10EA" w:rsidP="006C3E1F">
            <w:pPr>
              <w:jc w:val="center"/>
              <w:rPr>
                <w:rFonts w:ascii="Times New Roman" w:hAnsi="Times New Roman" w:cs="Times New Roman"/>
                <w:b/>
                <w:bCs/>
              </w:rPr>
            </w:pPr>
            <w:r>
              <w:rPr>
                <w:rFonts w:ascii="Times New Roman" w:hAnsi="Times New Roman" w:cs="Times New Roman"/>
                <w:b/>
                <w:bCs/>
              </w:rPr>
              <w:t>1</w:t>
            </w:r>
            <w:r w:rsidR="00BA1CB3">
              <w:rPr>
                <w:rFonts w:ascii="Times New Roman" w:hAnsi="Times New Roman" w:cs="Times New Roman"/>
                <w:b/>
                <w:bCs/>
              </w:rPr>
              <w:t>0</w:t>
            </w:r>
          </w:p>
        </w:tc>
      </w:tr>
      <w:tr w:rsidR="6AAE56E9" w:rsidRPr="00814666" w14:paraId="3AC77344" w14:textId="77777777" w:rsidTr="006C3E1F">
        <w:trPr>
          <w:trHeight w:val="300"/>
        </w:trPr>
        <w:tc>
          <w:tcPr>
            <w:tcW w:w="7763" w:type="dxa"/>
          </w:tcPr>
          <w:p w14:paraId="24CD01F4" w14:textId="29A64B9A" w:rsidR="00DD032C" w:rsidRPr="00DD032C" w:rsidRDefault="00DD032C" w:rsidP="00DD032C">
            <w:pPr>
              <w:jc w:val="both"/>
              <w:rPr>
                <w:rFonts w:ascii="Times New Roman" w:hAnsi="Times New Roman" w:cs="Times New Roman"/>
              </w:rPr>
            </w:pPr>
            <w:r>
              <w:rPr>
                <w:rFonts w:ascii="Times New Roman" w:hAnsi="Times New Roman" w:cs="Times New Roman"/>
              </w:rPr>
              <w:t xml:space="preserve">Projektiplaan on </w:t>
            </w:r>
            <w:r w:rsidRPr="00DD032C">
              <w:rPr>
                <w:rFonts w:ascii="Times New Roman" w:hAnsi="Times New Roman" w:cs="Times New Roman"/>
              </w:rPr>
              <w:t>mitmes olulises osas ebaratsionaalne või ebarealistlik</w:t>
            </w:r>
            <w:r>
              <w:rPr>
                <w:rFonts w:ascii="Times New Roman" w:hAnsi="Times New Roman" w:cs="Times New Roman"/>
              </w:rPr>
              <w:t xml:space="preserve"> või</w:t>
            </w:r>
            <w:r w:rsidRPr="00DD032C">
              <w:rPr>
                <w:rFonts w:ascii="Times New Roman" w:hAnsi="Times New Roman" w:cs="Times New Roman"/>
              </w:rPr>
              <w:t xml:space="preserve"> </w:t>
            </w:r>
            <w:r w:rsidRPr="00DD032C">
              <w:rPr>
                <w:rFonts w:ascii="Times New Roman" w:hAnsi="Times New Roman" w:cs="Times New Roman"/>
              </w:rPr>
              <w:lastRenderedPageBreak/>
              <w:t xml:space="preserve">ebapiisavalt läbi mõeldud või kirjeldatud, sh </w:t>
            </w:r>
          </w:p>
          <w:p w14:paraId="67D0BEDC" w14:textId="77777777" w:rsidR="00DD032C" w:rsidRPr="00DD032C" w:rsidRDefault="00DD032C" w:rsidP="00DD032C">
            <w:pPr>
              <w:jc w:val="both"/>
              <w:rPr>
                <w:rFonts w:ascii="Times New Roman" w:hAnsi="Times New Roman" w:cs="Times New Roman"/>
              </w:rPr>
            </w:pPr>
            <w:r w:rsidRPr="00DD032C">
              <w:rPr>
                <w:rFonts w:ascii="Times New Roman" w:hAnsi="Times New Roman" w:cs="Times New Roman"/>
              </w:rPr>
              <w:t>- esineb vastuolusid konkreetsete (ala)tegevuste ning nende peamise vastutaja ja/või läbiviija(te) kirjelduses;</w:t>
            </w:r>
          </w:p>
          <w:p w14:paraId="2E2A6A06" w14:textId="7B33E76B" w:rsidR="00DD032C" w:rsidRPr="00DD032C" w:rsidRDefault="00DD032C" w:rsidP="00DD032C">
            <w:pPr>
              <w:jc w:val="both"/>
              <w:rPr>
                <w:rFonts w:ascii="Times New Roman" w:hAnsi="Times New Roman" w:cs="Times New Roman"/>
              </w:rPr>
            </w:pPr>
            <w:r w:rsidRPr="00DD032C">
              <w:rPr>
                <w:rFonts w:ascii="Times New Roman" w:hAnsi="Times New Roman" w:cs="Times New Roman"/>
              </w:rPr>
              <w:t xml:space="preserve">- ja/või pole kajastatud kõiki meeskonna kirjelduses esitatud liikmeid </w:t>
            </w:r>
            <w:r>
              <w:rPr>
                <w:rFonts w:ascii="Times New Roman" w:hAnsi="Times New Roman" w:cs="Times New Roman"/>
              </w:rPr>
              <w:t xml:space="preserve">ning </w:t>
            </w:r>
            <w:r w:rsidRPr="00DD032C">
              <w:rPr>
                <w:rFonts w:ascii="Times New Roman" w:hAnsi="Times New Roman" w:cs="Times New Roman"/>
              </w:rPr>
              <w:t>meeskonnaliikmete panust erinevates arenduse etappides.</w:t>
            </w:r>
          </w:p>
          <w:p w14:paraId="434369B0" w14:textId="1CA8E7AF" w:rsidR="00DD032C" w:rsidRDefault="00DD032C" w:rsidP="00DD032C">
            <w:pPr>
              <w:jc w:val="both"/>
              <w:rPr>
                <w:rFonts w:ascii="Times New Roman" w:hAnsi="Times New Roman" w:cs="Times New Roman"/>
              </w:rPr>
            </w:pPr>
            <w:r w:rsidRPr="00DD032C">
              <w:rPr>
                <w:rFonts w:ascii="Times New Roman" w:hAnsi="Times New Roman" w:cs="Times New Roman"/>
              </w:rPr>
              <w:t>-aja- ja tegevuskavas on ebakõlasid, nt mõne töö jaoks on planeeritud kas põhjendamatult pikk või väga lühike periood.</w:t>
            </w:r>
          </w:p>
          <w:p w14:paraId="2411C31D" w14:textId="07DE35BD" w:rsidR="00DD032C" w:rsidRDefault="00AD10EA" w:rsidP="00B11C1B">
            <w:pPr>
              <w:jc w:val="both"/>
              <w:rPr>
                <w:rFonts w:ascii="Times New Roman" w:hAnsi="Times New Roman" w:cs="Times New Roman"/>
              </w:rPr>
            </w:pPr>
            <w:r>
              <w:rPr>
                <w:rFonts w:ascii="Times New Roman" w:hAnsi="Times New Roman" w:cs="Times New Roman"/>
              </w:rPr>
              <w:t>P</w:t>
            </w:r>
            <w:r w:rsidRPr="00AD10EA">
              <w:rPr>
                <w:rFonts w:ascii="Times New Roman" w:hAnsi="Times New Roman" w:cs="Times New Roman"/>
              </w:rPr>
              <w:t xml:space="preserve">rojekti eelarve on esitatud </w:t>
            </w:r>
            <w:r>
              <w:rPr>
                <w:rFonts w:ascii="Times New Roman" w:hAnsi="Times New Roman" w:cs="Times New Roman"/>
              </w:rPr>
              <w:t xml:space="preserve">tegevuste ja/või etappide kaupa, kuid </w:t>
            </w:r>
            <w:r w:rsidR="00FF7E66">
              <w:rPr>
                <w:rFonts w:ascii="Times New Roman" w:hAnsi="Times New Roman" w:cs="Times New Roman"/>
              </w:rPr>
              <w:t xml:space="preserve">selles esineb puudusi sh </w:t>
            </w:r>
            <w:r w:rsidR="001F38F8">
              <w:rPr>
                <w:rFonts w:ascii="Times New Roman" w:hAnsi="Times New Roman" w:cs="Times New Roman"/>
              </w:rPr>
              <w:t xml:space="preserve">see on esitatud </w:t>
            </w:r>
            <w:r w:rsidR="00FF7E66">
              <w:rPr>
                <w:rFonts w:ascii="Times New Roman" w:hAnsi="Times New Roman" w:cs="Times New Roman"/>
              </w:rPr>
              <w:t xml:space="preserve">liiga </w:t>
            </w:r>
            <w:r w:rsidR="001F38F8">
              <w:rPr>
                <w:rFonts w:ascii="Times New Roman" w:hAnsi="Times New Roman" w:cs="Times New Roman"/>
              </w:rPr>
              <w:t xml:space="preserve">üldiselt </w:t>
            </w:r>
            <w:r w:rsidR="00FF7E66">
              <w:rPr>
                <w:rFonts w:ascii="Times New Roman" w:hAnsi="Times New Roman" w:cs="Times New Roman"/>
              </w:rPr>
              <w:t>või</w:t>
            </w:r>
            <w:r w:rsidR="001F38F8">
              <w:rPr>
                <w:rFonts w:ascii="Times New Roman" w:hAnsi="Times New Roman" w:cs="Times New Roman"/>
              </w:rPr>
              <w:t xml:space="preserve"> </w:t>
            </w:r>
            <w:r>
              <w:rPr>
                <w:rFonts w:ascii="Times New Roman" w:hAnsi="Times New Roman" w:cs="Times New Roman"/>
              </w:rPr>
              <w:t xml:space="preserve">vajaks rohkem liigendatust, et tagada </w:t>
            </w:r>
            <w:r w:rsidR="001F38F8">
              <w:rPr>
                <w:rFonts w:ascii="Times New Roman" w:hAnsi="Times New Roman" w:cs="Times New Roman"/>
              </w:rPr>
              <w:t xml:space="preserve">hankijale </w:t>
            </w:r>
            <w:r>
              <w:rPr>
                <w:rFonts w:ascii="Times New Roman" w:hAnsi="Times New Roman" w:cs="Times New Roman"/>
              </w:rPr>
              <w:t>selge arusaam projekti raames</w:t>
            </w:r>
            <w:r w:rsidRPr="00AD10EA">
              <w:rPr>
                <w:rFonts w:ascii="Times New Roman" w:hAnsi="Times New Roman" w:cs="Times New Roman"/>
              </w:rPr>
              <w:t xml:space="preserve"> kulude tekkimisest tegevuste/ja/või etappide kaupa</w:t>
            </w:r>
            <w:r w:rsidR="001F38F8">
              <w:rPr>
                <w:rFonts w:ascii="Times New Roman" w:hAnsi="Times New Roman" w:cs="Times New Roman"/>
              </w:rPr>
              <w:t>.</w:t>
            </w:r>
          </w:p>
          <w:p w14:paraId="4466A8F6" w14:textId="77777777" w:rsidR="380B3AC5" w:rsidRDefault="00EF3774" w:rsidP="00B11C1B">
            <w:pPr>
              <w:jc w:val="both"/>
              <w:rPr>
                <w:rFonts w:ascii="Times New Roman" w:hAnsi="Times New Roman" w:cs="Times New Roman"/>
                <w:b/>
                <w:bCs/>
              </w:rPr>
            </w:pPr>
            <w:r w:rsidRPr="00EF3774">
              <w:rPr>
                <w:rFonts w:ascii="Times New Roman" w:hAnsi="Times New Roman" w:cs="Times New Roman"/>
                <w:b/>
                <w:bCs/>
              </w:rPr>
              <w:t xml:space="preserve">Vastab alla keskmise riigihanke alusdokumentides kirjeldatud </w:t>
            </w:r>
            <w:r w:rsidR="00741FEB" w:rsidRPr="00EF3774">
              <w:rPr>
                <w:rFonts w:ascii="Times New Roman" w:hAnsi="Times New Roman" w:cs="Times New Roman"/>
                <w:b/>
                <w:bCs/>
              </w:rPr>
              <w:t>tellija</w:t>
            </w:r>
            <w:r w:rsidRPr="00EF3774">
              <w:rPr>
                <w:rFonts w:ascii="Times New Roman" w:hAnsi="Times New Roman" w:cs="Times New Roman"/>
                <w:b/>
                <w:bCs/>
              </w:rPr>
              <w:t xml:space="preserve"> ootustele.</w:t>
            </w:r>
          </w:p>
          <w:p w14:paraId="7A1565A8" w14:textId="3CC7831E" w:rsidR="00DA577C" w:rsidRPr="00EF3774" w:rsidRDefault="00DA577C" w:rsidP="00B11C1B">
            <w:pPr>
              <w:jc w:val="both"/>
              <w:rPr>
                <w:rFonts w:ascii="Times New Roman" w:hAnsi="Times New Roman" w:cs="Times New Roman"/>
                <w:b/>
                <w:bCs/>
              </w:rPr>
            </w:pPr>
          </w:p>
        </w:tc>
        <w:tc>
          <w:tcPr>
            <w:tcW w:w="1276" w:type="dxa"/>
            <w:vAlign w:val="center"/>
          </w:tcPr>
          <w:p w14:paraId="45E84693" w14:textId="62CB421B" w:rsidR="6AAE56E9" w:rsidRPr="00B11C1B" w:rsidRDefault="00AD10EA" w:rsidP="006C3E1F">
            <w:pPr>
              <w:jc w:val="center"/>
              <w:rPr>
                <w:rFonts w:ascii="Times New Roman" w:hAnsi="Times New Roman" w:cs="Times New Roman"/>
                <w:b/>
                <w:bCs/>
              </w:rPr>
            </w:pPr>
            <w:r>
              <w:rPr>
                <w:rFonts w:ascii="Times New Roman" w:hAnsi="Times New Roman" w:cs="Times New Roman"/>
                <w:b/>
                <w:bCs/>
              </w:rPr>
              <w:lastRenderedPageBreak/>
              <w:t>5</w:t>
            </w:r>
          </w:p>
        </w:tc>
      </w:tr>
    </w:tbl>
    <w:p w14:paraId="6E09BEC5" w14:textId="1426B4FC" w:rsidR="6AAE56E9" w:rsidRDefault="6AAE56E9" w:rsidP="00814666">
      <w:pPr>
        <w:spacing w:line="360" w:lineRule="auto"/>
        <w:jc w:val="both"/>
        <w:rPr>
          <w:rFonts w:ascii="Times New Roman" w:eastAsia="Calibri" w:hAnsi="Times New Roman" w:cs="Times New Roman"/>
          <w:b/>
          <w:bCs/>
          <w:color w:val="000000" w:themeColor="text1"/>
          <w:sz w:val="24"/>
          <w:szCs w:val="24"/>
        </w:rPr>
      </w:pPr>
    </w:p>
    <w:p w14:paraId="60A55026" w14:textId="68A35C4C" w:rsidR="00B11C1B" w:rsidRPr="008445A9" w:rsidRDefault="00741FEB" w:rsidP="00814666">
      <w:pPr>
        <w:spacing w:line="360" w:lineRule="auto"/>
        <w:jc w:val="both"/>
        <w:rPr>
          <w:rFonts w:ascii="Times New Roman" w:eastAsia="Calibri" w:hAnsi="Times New Roman" w:cs="Times New Roman"/>
          <w:b/>
          <w:bCs/>
          <w:color w:val="000000" w:themeColor="text1"/>
        </w:rPr>
      </w:pPr>
      <w:r w:rsidRPr="008445A9">
        <w:rPr>
          <w:rFonts w:ascii="Times New Roman" w:eastAsia="Calibri" w:hAnsi="Times New Roman" w:cs="Times New Roman"/>
          <w:b/>
          <w:bCs/>
          <w:color w:val="000000" w:themeColor="text1"/>
        </w:rPr>
        <w:t xml:space="preserve">6.2. </w:t>
      </w:r>
      <w:r w:rsidR="006D16CA" w:rsidRPr="008445A9">
        <w:rPr>
          <w:rFonts w:ascii="Times New Roman" w:eastAsia="Calibri" w:hAnsi="Times New Roman" w:cs="Times New Roman"/>
          <w:b/>
          <w:bCs/>
          <w:color w:val="000000" w:themeColor="text1"/>
        </w:rPr>
        <w:t>Alakriteerium: Riskianalüüs</w:t>
      </w:r>
      <w:r w:rsidR="00EF3774" w:rsidRPr="008445A9">
        <w:rPr>
          <w:rFonts w:ascii="Times New Roman" w:eastAsia="Calibri" w:hAnsi="Times New Roman" w:cs="Times New Roman"/>
          <w:b/>
          <w:bCs/>
          <w:color w:val="000000" w:themeColor="text1"/>
        </w:rPr>
        <w:t xml:space="preserve"> (maksimaalselt 5 punkti)</w:t>
      </w:r>
    </w:p>
    <w:tbl>
      <w:tblPr>
        <w:tblStyle w:val="TableGrid1"/>
        <w:tblW w:w="0" w:type="auto"/>
        <w:tblLayout w:type="fixed"/>
        <w:tblLook w:val="04A0" w:firstRow="1" w:lastRow="0" w:firstColumn="1" w:lastColumn="0" w:noHBand="0" w:noVBand="1"/>
      </w:tblPr>
      <w:tblGrid>
        <w:gridCol w:w="7792"/>
        <w:gridCol w:w="1270"/>
      </w:tblGrid>
      <w:tr w:rsidR="00EF3774" w:rsidRPr="00EF3774" w14:paraId="42C10AE0" w14:textId="77777777" w:rsidTr="008445A9">
        <w:tc>
          <w:tcPr>
            <w:tcW w:w="7792" w:type="dxa"/>
            <w:shd w:val="clear" w:color="auto" w:fill="DAE9F7" w:themeFill="text2" w:themeFillTint="1A"/>
          </w:tcPr>
          <w:p w14:paraId="0C3B62C0" w14:textId="77777777" w:rsidR="00741FEB" w:rsidRDefault="00741FEB" w:rsidP="00741FEB">
            <w:pPr>
              <w:autoSpaceDE w:val="0"/>
              <w:autoSpaceDN w:val="0"/>
              <w:adjustRightInd w:val="0"/>
              <w:jc w:val="center"/>
              <w:rPr>
                <w:rFonts w:ascii="Times New Roman" w:eastAsia="Times New Roman" w:hAnsi="Times New Roman" w:cs="Times New Roman"/>
                <w:b/>
                <w:bCs/>
                <w:color w:val="000000"/>
                <w:lang w:eastAsia="et-EE"/>
                <w14:ligatures w14:val="none"/>
              </w:rPr>
            </w:pPr>
          </w:p>
          <w:p w14:paraId="47E091B2" w14:textId="6A59A5D2" w:rsidR="00EF3774" w:rsidRPr="00EF3774" w:rsidRDefault="00EF3774" w:rsidP="00741FEB">
            <w:pPr>
              <w:autoSpaceDE w:val="0"/>
              <w:autoSpaceDN w:val="0"/>
              <w:adjustRightInd w:val="0"/>
              <w:jc w:val="center"/>
              <w:rPr>
                <w:rFonts w:ascii="Times New Roman" w:eastAsia="Times New Roman" w:hAnsi="Times New Roman" w:cs="Times New Roman"/>
                <w:color w:val="000000"/>
                <w:lang w:eastAsia="et-EE"/>
                <w14:ligatures w14:val="none"/>
              </w:rPr>
            </w:pPr>
            <w:r w:rsidRPr="00EF3774">
              <w:rPr>
                <w:rFonts w:ascii="Times New Roman" w:eastAsia="Times New Roman" w:hAnsi="Times New Roman" w:cs="Times New Roman"/>
                <w:b/>
                <w:bCs/>
                <w:color w:val="000000"/>
                <w:lang w:eastAsia="et-EE"/>
                <w14:ligatures w14:val="none"/>
              </w:rPr>
              <w:t>Riskianalüüs</w:t>
            </w:r>
          </w:p>
        </w:tc>
        <w:tc>
          <w:tcPr>
            <w:tcW w:w="1270" w:type="dxa"/>
            <w:shd w:val="clear" w:color="auto" w:fill="DAE9F7" w:themeFill="text2" w:themeFillTint="1A"/>
          </w:tcPr>
          <w:p w14:paraId="0D424796" w14:textId="77777777" w:rsidR="00EF3774" w:rsidRPr="00EF3774" w:rsidRDefault="00EF3774" w:rsidP="00741FEB">
            <w:pPr>
              <w:jc w:val="center"/>
              <w:rPr>
                <w:rFonts w:ascii="Times New Roman" w:eastAsia="Times New Roman" w:hAnsi="Times New Roman" w:cs="Times New Roman"/>
                <w:b/>
                <w:color w:val="000000"/>
                <w:lang w:eastAsia="et-EE"/>
                <w14:ligatures w14:val="none"/>
              </w:rPr>
            </w:pPr>
            <w:r w:rsidRPr="00EF3774">
              <w:rPr>
                <w:rFonts w:ascii="Times New Roman" w:eastAsia="Times New Roman" w:hAnsi="Times New Roman" w:cs="Times New Roman"/>
                <w:b/>
                <w:color w:val="000000"/>
                <w:lang w:eastAsia="et-EE"/>
                <w14:ligatures w14:val="none"/>
              </w:rPr>
              <w:t>Väärtus-punktide arv</w:t>
            </w:r>
          </w:p>
        </w:tc>
      </w:tr>
      <w:tr w:rsidR="00EF3774" w:rsidRPr="00EF3774" w14:paraId="1A9D39D1" w14:textId="77777777" w:rsidTr="006C3E1F">
        <w:tc>
          <w:tcPr>
            <w:tcW w:w="7792" w:type="dxa"/>
          </w:tcPr>
          <w:p w14:paraId="02CB14DC" w14:textId="2D31CEC1" w:rsidR="00EF3774" w:rsidRPr="00EF3774" w:rsidRDefault="00741FEB" w:rsidP="00EF3774">
            <w:pPr>
              <w:autoSpaceDE w:val="0"/>
              <w:autoSpaceDN w:val="0"/>
              <w:adjustRightInd w:val="0"/>
              <w:jc w:val="both"/>
              <w:rPr>
                <w:rFonts w:ascii="Times New Roman" w:eastAsia="Times New Roman" w:hAnsi="Times New Roman" w:cs="Times New Roman"/>
                <w:color w:val="000000"/>
                <w:lang w:eastAsia="et-EE"/>
                <w14:ligatures w14:val="none"/>
              </w:rPr>
            </w:pPr>
            <w:r w:rsidRPr="00741FEB">
              <w:rPr>
                <w:rFonts w:ascii="Times New Roman" w:eastAsia="Times New Roman" w:hAnsi="Times New Roman" w:cs="Times New Roman"/>
                <w:color w:val="000000"/>
                <w:lang w:eastAsia="et-EE"/>
                <w14:ligatures w14:val="none"/>
              </w:rPr>
              <w:t xml:space="preserve">Välja on toodud võimalikud </w:t>
            </w:r>
            <w:r>
              <w:rPr>
                <w:rFonts w:ascii="Times New Roman" w:eastAsia="Times New Roman" w:hAnsi="Times New Roman" w:cs="Times New Roman"/>
                <w:color w:val="000000"/>
                <w:lang w:eastAsia="et-EE"/>
                <w14:ligatures w14:val="none"/>
              </w:rPr>
              <w:t xml:space="preserve">projektiga </w:t>
            </w:r>
            <w:r w:rsidRPr="00741FEB">
              <w:rPr>
                <w:rFonts w:ascii="Times New Roman" w:eastAsia="Times New Roman" w:hAnsi="Times New Roman" w:cs="Times New Roman"/>
                <w:color w:val="000000"/>
                <w:lang w:eastAsia="et-EE"/>
                <w14:ligatures w14:val="none"/>
              </w:rPr>
              <w:t xml:space="preserve">seotud riskid ja tõenäolised </w:t>
            </w:r>
            <w:r>
              <w:rPr>
                <w:rFonts w:ascii="Times New Roman" w:eastAsia="Times New Roman" w:hAnsi="Times New Roman" w:cs="Times New Roman"/>
                <w:color w:val="000000"/>
                <w:lang w:eastAsia="et-EE"/>
                <w14:ligatures w14:val="none"/>
              </w:rPr>
              <w:t>tegevuste</w:t>
            </w:r>
            <w:r w:rsidRPr="00741FEB">
              <w:rPr>
                <w:rFonts w:ascii="Times New Roman" w:eastAsia="Times New Roman" w:hAnsi="Times New Roman" w:cs="Times New Roman"/>
                <w:color w:val="000000"/>
                <w:lang w:eastAsia="et-EE"/>
                <w14:ligatures w14:val="none"/>
              </w:rPr>
              <w:t xml:space="preserve"> käigus ette tulla võivad probleemid. Riskide kirjeldus on põhjalik ja arusaadav (st argumenteeritud), hinnatud on riskide esinemise tõenäosust. On leitud viisid, kuidas riske maandada ning nende valik on põhjendatud, lisatud on vastutavad isikud</w:t>
            </w:r>
            <w:r>
              <w:rPr>
                <w:rFonts w:ascii="Times New Roman" w:eastAsia="Times New Roman" w:hAnsi="Times New Roman" w:cs="Times New Roman"/>
                <w:color w:val="000000"/>
                <w:lang w:eastAsia="et-EE"/>
                <w14:ligatures w14:val="none"/>
              </w:rPr>
              <w:t>.</w:t>
            </w:r>
          </w:p>
          <w:p w14:paraId="43EBFB76" w14:textId="75BECFC9" w:rsidR="00EF3774" w:rsidRPr="00EF3774" w:rsidRDefault="00EF3774" w:rsidP="00EF3774">
            <w:pPr>
              <w:autoSpaceDE w:val="0"/>
              <w:autoSpaceDN w:val="0"/>
              <w:adjustRightInd w:val="0"/>
              <w:jc w:val="both"/>
              <w:rPr>
                <w:rFonts w:ascii="Times New Roman" w:eastAsia="Times New Roman" w:hAnsi="Times New Roman" w:cs="Times New Roman"/>
                <w:color w:val="000000"/>
                <w:lang w:eastAsia="et-EE"/>
                <w14:ligatures w14:val="none"/>
              </w:rPr>
            </w:pPr>
            <w:r w:rsidRPr="00EF3774">
              <w:rPr>
                <w:rFonts w:ascii="Times New Roman" w:eastAsia="Times New Roman" w:hAnsi="Times New Roman" w:cs="Times New Roman"/>
                <w:color w:val="000000"/>
                <w:lang w:eastAsia="et-EE"/>
                <w14:ligatures w14:val="none"/>
              </w:rPr>
              <w:t xml:space="preserve">Tellija </w:t>
            </w:r>
            <w:r w:rsidR="00741FEB">
              <w:rPr>
                <w:rFonts w:ascii="Times New Roman" w:eastAsia="Times New Roman" w:hAnsi="Times New Roman" w:cs="Times New Roman"/>
                <w:color w:val="000000"/>
                <w:lang w:eastAsia="et-EE"/>
                <w14:ligatures w14:val="none"/>
              </w:rPr>
              <w:t>on</w:t>
            </w:r>
            <w:r w:rsidR="00741FEB" w:rsidRPr="00EF3774">
              <w:rPr>
                <w:rFonts w:ascii="Times New Roman" w:eastAsia="Times New Roman" w:hAnsi="Times New Roman" w:cs="Times New Roman"/>
                <w:color w:val="000000"/>
                <w:lang w:eastAsia="et-EE"/>
                <w14:ligatures w14:val="none"/>
              </w:rPr>
              <w:t xml:space="preserve"> </w:t>
            </w:r>
            <w:r w:rsidRPr="00EF3774">
              <w:rPr>
                <w:rFonts w:ascii="Times New Roman" w:eastAsia="Times New Roman" w:hAnsi="Times New Roman" w:cs="Times New Roman"/>
                <w:color w:val="000000"/>
                <w:lang w:eastAsia="et-EE"/>
                <w14:ligatures w14:val="none"/>
              </w:rPr>
              <w:t>pakkumuse põhjal veendunud pakkujapoolses võimekuses tagada hankelepingu  nõuetekohane täitmine.</w:t>
            </w:r>
          </w:p>
          <w:p w14:paraId="4F1AB8E8" w14:textId="77777777" w:rsidR="00EF3774" w:rsidRPr="00EF3774" w:rsidRDefault="00EF3774" w:rsidP="00EF3774">
            <w:pPr>
              <w:autoSpaceDE w:val="0"/>
              <w:autoSpaceDN w:val="0"/>
              <w:adjustRightInd w:val="0"/>
              <w:jc w:val="both"/>
              <w:rPr>
                <w:rFonts w:ascii="Times New Roman" w:eastAsia="Times New Roman" w:hAnsi="Times New Roman" w:cs="Times New Roman"/>
                <w:b/>
                <w:bCs/>
                <w:color w:val="000000"/>
                <w:lang w:eastAsia="et-EE"/>
                <w14:ligatures w14:val="none"/>
              </w:rPr>
            </w:pPr>
            <w:r w:rsidRPr="00EF3774">
              <w:rPr>
                <w:rFonts w:ascii="Times New Roman" w:eastAsia="Times New Roman" w:hAnsi="Times New Roman" w:cs="Times New Roman"/>
                <w:b/>
                <w:bCs/>
                <w:color w:val="000000"/>
                <w:lang w:eastAsia="et-EE"/>
                <w14:ligatures w14:val="none"/>
              </w:rPr>
              <w:t>Vastab täielikult riigihanke alusdokumentides kirjeldatud  tellija ootustele.</w:t>
            </w:r>
          </w:p>
          <w:p w14:paraId="4F34815C" w14:textId="77777777" w:rsidR="00EF3774" w:rsidRPr="00EF3774" w:rsidRDefault="00EF3774" w:rsidP="00EF3774">
            <w:pPr>
              <w:autoSpaceDE w:val="0"/>
              <w:autoSpaceDN w:val="0"/>
              <w:adjustRightInd w:val="0"/>
              <w:jc w:val="both"/>
              <w:rPr>
                <w:rFonts w:ascii="Times New Roman" w:eastAsia="Times New Roman" w:hAnsi="Times New Roman" w:cs="Times New Roman"/>
                <w:b/>
                <w:bCs/>
                <w:color w:val="000000"/>
                <w:lang w:eastAsia="et-EE"/>
                <w14:ligatures w14:val="none"/>
              </w:rPr>
            </w:pPr>
          </w:p>
        </w:tc>
        <w:tc>
          <w:tcPr>
            <w:tcW w:w="1270" w:type="dxa"/>
            <w:vAlign w:val="center"/>
          </w:tcPr>
          <w:p w14:paraId="2C538189" w14:textId="3D1B1600" w:rsidR="00EF3774" w:rsidRPr="00EF3774" w:rsidRDefault="00EF3774" w:rsidP="00EF3774">
            <w:pPr>
              <w:jc w:val="center"/>
              <w:rPr>
                <w:rFonts w:ascii="Times New Roman" w:eastAsia="Times New Roman" w:hAnsi="Times New Roman" w:cs="Times New Roman"/>
                <w:b/>
                <w:bCs/>
                <w:color w:val="000000"/>
                <w:lang w:eastAsia="et-EE"/>
                <w14:ligatures w14:val="none"/>
              </w:rPr>
            </w:pPr>
            <w:r w:rsidRPr="00EF3774">
              <w:rPr>
                <w:rFonts w:ascii="Times New Roman" w:eastAsia="Times New Roman" w:hAnsi="Times New Roman" w:cs="Times New Roman"/>
                <w:b/>
                <w:bCs/>
                <w:color w:val="000000"/>
                <w:lang w:eastAsia="et-EE"/>
                <w14:ligatures w14:val="none"/>
              </w:rPr>
              <w:t>5</w:t>
            </w:r>
          </w:p>
        </w:tc>
      </w:tr>
      <w:tr w:rsidR="00EF3774" w:rsidRPr="00EF3774" w14:paraId="0B60D86C" w14:textId="77777777" w:rsidTr="006C3E1F">
        <w:tc>
          <w:tcPr>
            <w:tcW w:w="7792" w:type="dxa"/>
          </w:tcPr>
          <w:p w14:paraId="1CBFC0A0" w14:textId="361DBFE6" w:rsidR="00EF3774" w:rsidRPr="00EF3774" w:rsidRDefault="00741FEB" w:rsidP="00EF3774">
            <w:pPr>
              <w:autoSpaceDE w:val="0"/>
              <w:autoSpaceDN w:val="0"/>
              <w:adjustRightInd w:val="0"/>
              <w:jc w:val="both"/>
              <w:rPr>
                <w:rFonts w:ascii="Times New Roman" w:eastAsia="Times New Roman" w:hAnsi="Times New Roman" w:cs="Times New Roman"/>
                <w:color w:val="000000"/>
                <w:lang w:eastAsia="et-EE"/>
                <w14:ligatures w14:val="none"/>
              </w:rPr>
            </w:pPr>
            <w:r w:rsidRPr="00741FEB">
              <w:rPr>
                <w:rFonts w:ascii="Times New Roman" w:eastAsia="Times New Roman" w:hAnsi="Times New Roman" w:cs="Times New Roman"/>
                <w:color w:val="000000"/>
                <w:lang w:eastAsia="et-EE"/>
                <w14:ligatures w14:val="none"/>
              </w:rPr>
              <w:t xml:space="preserve">Välja on toodud võimalikud </w:t>
            </w:r>
            <w:r>
              <w:rPr>
                <w:rFonts w:ascii="Times New Roman" w:eastAsia="Times New Roman" w:hAnsi="Times New Roman" w:cs="Times New Roman"/>
                <w:color w:val="000000"/>
                <w:lang w:eastAsia="et-EE"/>
                <w14:ligatures w14:val="none"/>
              </w:rPr>
              <w:t>projektiga</w:t>
            </w:r>
            <w:r w:rsidRPr="00741FEB">
              <w:rPr>
                <w:rFonts w:ascii="Times New Roman" w:eastAsia="Times New Roman" w:hAnsi="Times New Roman" w:cs="Times New Roman"/>
                <w:color w:val="000000"/>
                <w:lang w:eastAsia="et-EE"/>
                <w14:ligatures w14:val="none"/>
              </w:rPr>
              <w:t xml:space="preserve"> seotud riskid ja tõenäolised </w:t>
            </w:r>
            <w:r>
              <w:rPr>
                <w:rFonts w:ascii="Times New Roman" w:eastAsia="Times New Roman" w:hAnsi="Times New Roman" w:cs="Times New Roman"/>
                <w:color w:val="000000"/>
                <w:lang w:eastAsia="et-EE"/>
                <w14:ligatures w14:val="none"/>
              </w:rPr>
              <w:t>tegevuste</w:t>
            </w:r>
            <w:r w:rsidRPr="00741FEB">
              <w:rPr>
                <w:rFonts w:ascii="Times New Roman" w:eastAsia="Times New Roman" w:hAnsi="Times New Roman" w:cs="Times New Roman"/>
                <w:color w:val="000000"/>
                <w:lang w:eastAsia="et-EE"/>
                <w14:ligatures w14:val="none"/>
              </w:rPr>
              <w:t xml:space="preserve"> käigus </w:t>
            </w:r>
            <w:r>
              <w:rPr>
                <w:rFonts w:ascii="Times New Roman" w:eastAsia="Times New Roman" w:hAnsi="Times New Roman" w:cs="Times New Roman"/>
                <w:color w:val="000000"/>
                <w:lang w:eastAsia="et-EE"/>
                <w14:ligatures w14:val="none"/>
              </w:rPr>
              <w:t>esineda</w:t>
            </w:r>
            <w:r w:rsidRPr="00741FEB">
              <w:rPr>
                <w:rFonts w:ascii="Times New Roman" w:eastAsia="Times New Roman" w:hAnsi="Times New Roman" w:cs="Times New Roman"/>
                <w:color w:val="000000"/>
                <w:lang w:eastAsia="et-EE"/>
                <w14:ligatures w14:val="none"/>
              </w:rPr>
              <w:t xml:space="preserve"> võivad probleemid. Hinnatud on riskide esinemise tõenäosust. Välja on toodud riskide maandamise meetmed koos põhjendustega ja vastutavad isikud..</w:t>
            </w:r>
            <w:r>
              <w:rPr>
                <w:rFonts w:ascii="Times New Roman" w:eastAsia="Times New Roman" w:hAnsi="Times New Roman" w:cs="Times New Roman"/>
                <w:color w:val="000000"/>
                <w:lang w:eastAsia="et-EE"/>
                <w14:ligatures w14:val="none"/>
              </w:rPr>
              <w:t xml:space="preserve"> Projektiplaani aja</w:t>
            </w:r>
            <w:r w:rsidRPr="00EF3774">
              <w:rPr>
                <w:rFonts w:ascii="Times New Roman" w:eastAsia="Times New Roman" w:hAnsi="Times New Roman" w:cs="Times New Roman"/>
                <w:color w:val="000000"/>
                <w:lang w:eastAsia="et-EE"/>
                <w14:ligatures w14:val="none"/>
              </w:rPr>
              <w:t>kava</w:t>
            </w:r>
            <w:r w:rsidR="00EF3774" w:rsidRPr="00EF3774">
              <w:rPr>
                <w:rFonts w:ascii="Times New Roman" w:eastAsia="Times New Roman" w:hAnsi="Times New Roman" w:cs="Times New Roman"/>
                <w:color w:val="000000"/>
                <w:lang w:eastAsia="et-EE"/>
                <w14:ligatures w14:val="none"/>
              </w:rPr>
              <w:t xml:space="preserve"> ja tegevuskavaga seotud riskide ja nende maandamismeetmete kirjeldus näitab pakkuja arusaamist ja üldist võimekust riske maandada, kuid mõne teguri osas on riskianalüüs puudulik</w:t>
            </w:r>
            <w:r>
              <w:rPr>
                <w:rFonts w:ascii="Times New Roman" w:eastAsia="Times New Roman" w:hAnsi="Times New Roman" w:cs="Times New Roman"/>
                <w:color w:val="000000"/>
                <w:lang w:eastAsia="et-EE"/>
                <w14:ligatures w14:val="none"/>
              </w:rPr>
              <w:t xml:space="preserve"> või</w:t>
            </w:r>
            <w:r w:rsidR="00EF3774" w:rsidRPr="00EF3774">
              <w:rPr>
                <w:rFonts w:ascii="Times New Roman" w:eastAsia="Times New Roman" w:hAnsi="Times New Roman" w:cs="Times New Roman"/>
                <w:color w:val="000000"/>
                <w:lang w:eastAsia="et-EE"/>
                <w14:ligatures w14:val="none"/>
              </w:rPr>
              <w:t xml:space="preserve"> vastuoluline või pakkuja poolt </w:t>
            </w:r>
            <w:r>
              <w:rPr>
                <w:rFonts w:ascii="Times New Roman" w:eastAsia="Times New Roman" w:hAnsi="Times New Roman" w:cs="Times New Roman"/>
                <w:color w:val="000000"/>
                <w:lang w:eastAsia="et-EE"/>
                <w14:ligatures w14:val="none"/>
              </w:rPr>
              <w:t>põhjendamata</w:t>
            </w:r>
            <w:r w:rsidR="00EF3774" w:rsidRPr="00EF3774">
              <w:rPr>
                <w:rFonts w:ascii="Times New Roman" w:eastAsia="Times New Roman" w:hAnsi="Times New Roman" w:cs="Times New Roman"/>
                <w:color w:val="000000"/>
                <w:lang w:eastAsia="et-EE"/>
                <w14:ligatures w14:val="none"/>
              </w:rPr>
              <w:t>. Riskianalüüs tagab tellija hinnangul mõningate mööndustega hankelepingu nõuetekohase täitmise.</w:t>
            </w:r>
          </w:p>
          <w:p w14:paraId="034D685C" w14:textId="77777777" w:rsidR="00EF3774" w:rsidRPr="00EF3774" w:rsidRDefault="00EF3774" w:rsidP="00EF3774">
            <w:pPr>
              <w:autoSpaceDE w:val="0"/>
              <w:autoSpaceDN w:val="0"/>
              <w:adjustRightInd w:val="0"/>
              <w:jc w:val="both"/>
              <w:rPr>
                <w:rFonts w:ascii="Times New Roman" w:eastAsia="Times New Roman" w:hAnsi="Times New Roman" w:cs="Times New Roman"/>
                <w:b/>
                <w:bCs/>
                <w:color w:val="000000"/>
                <w:lang w:eastAsia="et-EE"/>
                <w14:ligatures w14:val="none"/>
              </w:rPr>
            </w:pPr>
            <w:r w:rsidRPr="00EF3774">
              <w:rPr>
                <w:rFonts w:ascii="Times New Roman" w:eastAsia="Times New Roman" w:hAnsi="Times New Roman" w:cs="Times New Roman"/>
                <w:b/>
                <w:bCs/>
                <w:color w:val="000000"/>
                <w:lang w:eastAsia="et-EE"/>
                <w14:ligatures w14:val="none"/>
              </w:rPr>
              <w:t>Vastab üle keskmise riigihanke alusdokumentides kirjeldatud  tellija ootustele.</w:t>
            </w:r>
          </w:p>
          <w:p w14:paraId="4BA947AB" w14:textId="77777777" w:rsidR="00EF3774" w:rsidRPr="00EF3774" w:rsidRDefault="00EF3774" w:rsidP="00EF3774">
            <w:pPr>
              <w:autoSpaceDE w:val="0"/>
              <w:autoSpaceDN w:val="0"/>
              <w:adjustRightInd w:val="0"/>
              <w:jc w:val="both"/>
              <w:rPr>
                <w:rFonts w:ascii="Times New Roman" w:eastAsia="Times New Roman" w:hAnsi="Times New Roman" w:cs="Times New Roman"/>
                <w:b/>
                <w:bCs/>
                <w:color w:val="000000"/>
                <w:lang w:eastAsia="et-EE"/>
                <w14:ligatures w14:val="none"/>
              </w:rPr>
            </w:pPr>
          </w:p>
        </w:tc>
        <w:tc>
          <w:tcPr>
            <w:tcW w:w="1270" w:type="dxa"/>
            <w:vAlign w:val="center"/>
          </w:tcPr>
          <w:p w14:paraId="382F5872" w14:textId="4E76E8ED" w:rsidR="00EF3774" w:rsidRPr="00EF3774" w:rsidRDefault="00EF3774" w:rsidP="00EF3774">
            <w:pPr>
              <w:jc w:val="center"/>
              <w:rPr>
                <w:rFonts w:ascii="Times New Roman" w:eastAsia="Times New Roman" w:hAnsi="Times New Roman" w:cs="Times New Roman"/>
                <w:b/>
                <w:bCs/>
                <w:color w:val="000000"/>
                <w:lang w:eastAsia="et-EE"/>
                <w14:ligatures w14:val="none"/>
              </w:rPr>
            </w:pPr>
            <w:r>
              <w:rPr>
                <w:rFonts w:ascii="Times New Roman" w:eastAsia="Times New Roman" w:hAnsi="Times New Roman" w:cs="Times New Roman"/>
                <w:b/>
                <w:bCs/>
                <w:color w:val="000000"/>
                <w:lang w:eastAsia="et-EE"/>
                <w14:ligatures w14:val="none"/>
              </w:rPr>
              <w:t>3</w:t>
            </w:r>
          </w:p>
        </w:tc>
      </w:tr>
      <w:tr w:rsidR="00EF3774" w:rsidRPr="00EF3774" w14:paraId="3FFC08B5" w14:textId="77777777" w:rsidTr="006C3E1F">
        <w:tc>
          <w:tcPr>
            <w:tcW w:w="7792" w:type="dxa"/>
          </w:tcPr>
          <w:p w14:paraId="1D5B53E5" w14:textId="2554A746" w:rsidR="00EF3774" w:rsidRPr="00EF3774" w:rsidRDefault="00741FEB" w:rsidP="00EF3774">
            <w:pPr>
              <w:autoSpaceDE w:val="0"/>
              <w:autoSpaceDN w:val="0"/>
              <w:adjustRightInd w:val="0"/>
              <w:jc w:val="both"/>
              <w:rPr>
                <w:rFonts w:ascii="Times New Roman" w:eastAsia="Times New Roman" w:hAnsi="Times New Roman" w:cs="Times New Roman"/>
                <w:color w:val="000000"/>
                <w:lang w:eastAsia="et-EE"/>
                <w14:ligatures w14:val="none"/>
              </w:rPr>
            </w:pPr>
            <w:r>
              <w:rPr>
                <w:rFonts w:ascii="Times New Roman" w:eastAsia="Times New Roman" w:hAnsi="Times New Roman" w:cs="Times New Roman"/>
                <w:color w:val="000000"/>
                <w:lang w:eastAsia="et-EE"/>
                <w14:ligatures w14:val="none"/>
              </w:rPr>
              <w:t xml:space="preserve">Projekti aja- ja tegevuskavaga </w:t>
            </w:r>
            <w:r w:rsidRPr="00741FEB">
              <w:rPr>
                <w:rFonts w:ascii="Times New Roman" w:eastAsia="Times New Roman" w:hAnsi="Times New Roman" w:cs="Times New Roman"/>
                <w:color w:val="000000"/>
                <w:lang w:eastAsia="et-EE"/>
                <w14:ligatures w14:val="none"/>
              </w:rPr>
              <w:t xml:space="preserve">kaasnevad võimalikud riskid on välja toodud, kuid </w:t>
            </w:r>
            <w:r>
              <w:rPr>
                <w:rFonts w:ascii="Times New Roman" w:eastAsia="Times New Roman" w:hAnsi="Times New Roman" w:cs="Times New Roman"/>
                <w:color w:val="000000"/>
                <w:lang w:eastAsia="et-EE"/>
                <w14:ligatures w14:val="none"/>
              </w:rPr>
              <w:t>hankija hinnangul ei hõlma kirjeldus ammendavat loetelu</w:t>
            </w:r>
            <w:r w:rsidRPr="00741FEB">
              <w:rPr>
                <w:rFonts w:ascii="Times New Roman" w:eastAsia="Times New Roman" w:hAnsi="Times New Roman" w:cs="Times New Roman"/>
                <w:color w:val="000000"/>
                <w:lang w:eastAsia="et-EE"/>
                <w14:ligatures w14:val="none"/>
              </w:rPr>
              <w:t xml:space="preserve">. Riskide maandamise meetmeid on kirjeldatud </w:t>
            </w:r>
            <w:r>
              <w:rPr>
                <w:rFonts w:ascii="Times New Roman" w:eastAsia="Times New Roman" w:hAnsi="Times New Roman" w:cs="Times New Roman"/>
                <w:color w:val="000000"/>
                <w:lang w:eastAsia="et-EE"/>
                <w14:ligatures w14:val="none"/>
              </w:rPr>
              <w:t xml:space="preserve">üldiselt või </w:t>
            </w:r>
            <w:r w:rsidRPr="00741FEB">
              <w:rPr>
                <w:rFonts w:ascii="Times New Roman" w:eastAsia="Times New Roman" w:hAnsi="Times New Roman" w:cs="Times New Roman"/>
                <w:color w:val="000000"/>
                <w:lang w:eastAsia="et-EE"/>
                <w14:ligatures w14:val="none"/>
              </w:rPr>
              <w:t>puudulikult</w:t>
            </w:r>
            <w:r>
              <w:rPr>
                <w:rFonts w:ascii="Times New Roman" w:eastAsia="Times New Roman" w:hAnsi="Times New Roman" w:cs="Times New Roman"/>
                <w:color w:val="000000"/>
                <w:lang w:eastAsia="et-EE"/>
                <w14:ligatures w14:val="none"/>
              </w:rPr>
              <w:t xml:space="preserve"> ja/või</w:t>
            </w:r>
            <w:r w:rsidRPr="00741FEB">
              <w:rPr>
                <w:rFonts w:ascii="Times New Roman" w:eastAsia="Times New Roman" w:hAnsi="Times New Roman" w:cs="Times New Roman"/>
                <w:color w:val="000000"/>
                <w:lang w:eastAsia="et-EE"/>
                <w14:ligatures w14:val="none"/>
              </w:rPr>
              <w:t xml:space="preserve"> ei ole hinnatud riski esinemise tõenäosust. Kõikide tegevuste juurde ei ole lisatud vastutavaid isikuid</w:t>
            </w:r>
            <w:r>
              <w:rPr>
                <w:rFonts w:ascii="Times New Roman" w:eastAsia="Times New Roman" w:hAnsi="Times New Roman" w:cs="Times New Roman"/>
                <w:color w:val="000000"/>
                <w:lang w:eastAsia="et-EE"/>
                <w14:ligatures w14:val="none"/>
              </w:rPr>
              <w:t>. Projektiplaani</w:t>
            </w:r>
            <w:r w:rsidRPr="00EF3774">
              <w:rPr>
                <w:rFonts w:ascii="Times New Roman" w:eastAsia="Times New Roman" w:hAnsi="Times New Roman" w:cs="Times New Roman"/>
                <w:color w:val="000000"/>
                <w:lang w:eastAsia="et-EE"/>
                <w14:ligatures w14:val="none"/>
              </w:rPr>
              <w:t xml:space="preserve"> </w:t>
            </w:r>
            <w:r w:rsidR="00EF3774" w:rsidRPr="00EF3774">
              <w:rPr>
                <w:rFonts w:ascii="Times New Roman" w:eastAsia="Times New Roman" w:hAnsi="Times New Roman" w:cs="Times New Roman"/>
                <w:color w:val="000000"/>
                <w:lang w:eastAsia="et-EE"/>
                <w14:ligatures w14:val="none"/>
              </w:rPr>
              <w:t>ajakava ja tegevuskavaga seotud riskide ja nende maandamismeetmete kirjeldus on mitmes olulises osas ebaratsionaalne või ebarealistlik</w:t>
            </w:r>
            <w:r>
              <w:rPr>
                <w:rFonts w:ascii="Times New Roman" w:eastAsia="Times New Roman" w:hAnsi="Times New Roman" w:cs="Times New Roman"/>
                <w:color w:val="000000"/>
                <w:lang w:eastAsia="et-EE"/>
                <w14:ligatures w14:val="none"/>
              </w:rPr>
              <w:t xml:space="preserve"> või</w:t>
            </w:r>
            <w:r w:rsidR="00EF3774" w:rsidRPr="00EF3774">
              <w:rPr>
                <w:rFonts w:ascii="Times New Roman" w:eastAsia="Times New Roman" w:hAnsi="Times New Roman" w:cs="Times New Roman"/>
                <w:color w:val="000000"/>
                <w:lang w:eastAsia="et-EE"/>
                <w14:ligatures w14:val="none"/>
              </w:rPr>
              <w:t xml:space="preserve"> ebapiisavalt läbi mõeldud või kirjeldatud. Riskianalüüs ei pruugi tellija hinnangul tagada hankelepingu nõuetekohast täitmist.</w:t>
            </w:r>
          </w:p>
          <w:p w14:paraId="53AE358F" w14:textId="77777777" w:rsidR="00EF3774" w:rsidRPr="00EF3774" w:rsidRDefault="00EF3774" w:rsidP="00EF3774">
            <w:pPr>
              <w:autoSpaceDE w:val="0"/>
              <w:autoSpaceDN w:val="0"/>
              <w:adjustRightInd w:val="0"/>
              <w:jc w:val="both"/>
              <w:rPr>
                <w:rFonts w:ascii="Times New Roman" w:eastAsia="Times New Roman" w:hAnsi="Times New Roman" w:cs="Times New Roman"/>
                <w:b/>
                <w:bCs/>
                <w:color w:val="000000"/>
                <w:lang w:eastAsia="et-EE"/>
                <w14:ligatures w14:val="none"/>
              </w:rPr>
            </w:pPr>
            <w:r w:rsidRPr="00EF3774">
              <w:rPr>
                <w:rFonts w:ascii="Times New Roman" w:eastAsia="Times New Roman" w:hAnsi="Times New Roman" w:cs="Times New Roman"/>
                <w:b/>
                <w:bCs/>
                <w:color w:val="000000"/>
                <w:lang w:eastAsia="et-EE"/>
                <w14:ligatures w14:val="none"/>
              </w:rPr>
              <w:t>Vastab alla keskmise riigihanke alusdokumentides kirjeldatud  tellija ootustele.</w:t>
            </w:r>
          </w:p>
          <w:p w14:paraId="5D497FB8" w14:textId="77777777" w:rsidR="00EF3774" w:rsidRPr="00EF3774" w:rsidRDefault="00EF3774" w:rsidP="00EF3774">
            <w:pPr>
              <w:autoSpaceDE w:val="0"/>
              <w:autoSpaceDN w:val="0"/>
              <w:adjustRightInd w:val="0"/>
              <w:jc w:val="both"/>
              <w:rPr>
                <w:rFonts w:ascii="Times New Roman" w:eastAsia="Times New Roman" w:hAnsi="Times New Roman" w:cs="Times New Roman"/>
                <w:b/>
                <w:bCs/>
                <w:color w:val="000000"/>
                <w:lang w:eastAsia="et-EE"/>
                <w14:ligatures w14:val="none"/>
              </w:rPr>
            </w:pPr>
          </w:p>
        </w:tc>
        <w:tc>
          <w:tcPr>
            <w:tcW w:w="1270" w:type="dxa"/>
            <w:vAlign w:val="center"/>
          </w:tcPr>
          <w:p w14:paraId="67B5AEB3" w14:textId="6C3E1EF7" w:rsidR="00EF3774" w:rsidRPr="00EF3774" w:rsidRDefault="00EF3774" w:rsidP="00EF3774">
            <w:pPr>
              <w:jc w:val="center"/>
              <w:rPr>
                <w:rFonts w:ascii="Times New Roman" w:eastAsia="Times New Roman" w:hAnsi="Times New Roman" w:cs="Times New Roman"/>
                <w:b/>
                <w:bCs/>
                <w:color w:val="000000"/>
                <w:lang w:eastAsia="et-EE"/>
                <w14:ligatures w14:val="none"/>
              </w:rPr>
            </w:pPr>
            <w:r>
              <w:rPr>
                <w:rFonts w:ascii="Times New Roman" w:eastAsia="Times New Roman" w:hAnsi="Times New Roman" w:cs="Times New Roman"/>
                <w:b/>
                <w:bCs/>
                <w:color w:val="000000"/>
                <w:lang w:eastAsia="et-EE"/>
                <w14:ligatures w14:val="none"/>
              </w:rPr>
              <w:t>1</w:t>
            </w:r>
          </w:p>
        </w:tc>
      </w:tr>
    </w:tbl>
    <w:p w14:paraId="11F8A1ED" w14:textId="77777777" w:rsidR="008445A9" w:rsidRPr="008445A9" w:rsidRDefault="008445A9" w:rsidP="00814666">
      <w:pPr>
        <w:spacing w:line="360" w:lineRule="auto"/>
        <w:jc w:val="both"/>
        <w:rPr>
          <w:rFonts w:ascii="Times New Roman" w:eastAsia="Calibri" w:hAnsi="Times New Roman" w:cs="Times New Roman"/>
          <w:b/>
          <w:bCs/>
          <w:color w:val="000000" w:themeColor="text1"/>
        </w:rPr>
      </w:pPr>
    </w:p>
    <w:p w14:paraId="1DF7CBF9" w14:textId="2EB2F1F1" w:rsidR="00B11C1B" w:rsidRPr="008445A9" w:rsidRDefault="00872E39" w:rsidP="00A2722A">
      <w:pPr>
        <w:pStyle w:val="ListParagraph"/>
        <w:numPr>
          <w:ilvl w:val="0"/>
          <w:numId w:val="6"/>
        </w:numPr>
        <w:spacing w:line="360" w:lineRule="auto"/>
        <w:ind w:left="284"/>
        <w:jc w:val="both"/>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P</w:t>
      </w:r>
      <w:r w:rsidR="00B11C1B" w:rsidRPr="008445A9">
        <w:rPr>
          <w:rFonts w:ascii="Times New Roman" w:eastAsia="Calibri" w:hAnsi="Times New Roman" w:cs="Times New Roman"/>
          <w:b/>
          <w:bCs/>
          <w:color w:val="000000" w:themeColor="text1"/>
        </w:rPr>
        <w:t>rojektimeeskonna kogemus (maksimaalselt 20 punkti)</w:t>
      </w:r>
    </w:p>
    <w:p w14:paraId="7F390E5A" w14:textId="7E5E1A8D" w:rsidR="008445A9" w:rsidRPr="008445A9" w:rsidRDefault="008445A9" w:rsidP="008445A9">
      <w:pPr>
        <w:spacing w:line="360" w:lineRule="auto"/>
        <w:jc w:val="both"/>
        <w:rPr>
          <w:rFonts w:ascii="Times New Roman" w:eastAsia="Calibri" w:hAnsi="Times New Roman" w:cs="Times New Roman"/>
          <w:b/>
          <w:bCs/>
          <w:color w:val="000000" w:themeColor="text1"/>
        </w:rPr>
      </w:pPr>
      <w:r w:rsidRPr="008445A9">
        <w:rPr>
          <w:rFonts w:ascii="Times New Roman" w:eastAsia="Calibri" w:hAnsi="Times New Roman" w:cs="Times New Roman"/>
          <w:b/>
          <w:bCs/>
          <w:color w:val="000000" w:themeColor="text1"/>
        </w:rPr>
        <w:t>Hindamiskriteeriumi Projektimeeskonna kogemus omistatakse punkte järgnevalt</w:t>
      </w:r>
      <w:r>
        <w:rPr>
          <w:rFonts w:ascii="Times New Roman" w:eastAsia="Calibri" w:hAnsi="Times New Roman" w:cs="Times New Roman"/>
          <w:b/>
          <w:bCs/>
          <w:color w:val="000000" w:themeColor="text1"/>
        </w:rPr>
        <w:t>:</w:t>
      </w:r>
    </w:p>
    <w:p w14:paraId="2FD0FAFA" w14:textId="77777777" w:rsidR="008445A9" w:rsidRPr="006C3E1F" w:rsidRDefault="008445A9" w:rsidP="008445A9">
      <w:pPr>
        <w:pStyle w:val="ListParagraph"/>
        <w:spacing w:line="360" w:lineRule="auto"/>
        <w:jc w:val="both"/>
        <w:rPr>
          <w:rFonts w:ascii="Times New Roman" w:eastAsia="Calibri" w:hAnsi="Times New Roman" w:cs="Times New Roman"/>
          <w:b/>
          <w:bCs/>
          <w:color w:val="000000" w:themeColor="text1"/>
          <w:sz w:val="24"/>
          <w:szCs w:val="24"/>
        </w:rPr>
      </w:pPr>
    </w:p>
    <w:tbl>
      <w:tblPr>
        <w:tblStyle w:val="TableGrid"/>
        <w:tblW w:w="9039" w:type="dxa"/>
        <w:tblLayout w:type="fixed"/>
        <w:tblLook w:val="04A0" w:firstRow="1" w:lastRow="0" w:firstColumn="1" w:lastColumn="0" w:noHBand="0" w:noVBand="1"/>
      </w:tblPr>
      <w:tblGrid>
        <w:gridCol w:w="7763"/>
        <w:gridCol w:w="1276"/>
      </w:tblGrid>
      <w:tr w:rsidR="008445A9" w14:paraId="063198E2" w14:textId="77777777" w:rsidTr="16D98A7B">
        <w:tc>
          <w:tcPr>
            <w:tcW w:w="7763" w:type="dxa"/>
            <w:shd w:val="clear" w:color="auto" w:fill="DAE9F7" w:themeFill="text2" w:themeFillTint="1A"/>
          </w:tcPr>
          <w:p w14:paraId="185D94E1" w14:textId="5E41B84F" w:rsidR="008445A9" w:rsidRPr="008445A9" w:rsidRDefault="008445A9" w:rsidP="001F38F8">
            <w:pPr>
              <w:jc w:val="both"/>
              <w:rPr>
                <w:rFonts w:ascii="Times New Roman" w:eastAsia="Calibri" w:hAnsi="Times New Roman" w:cs="Times New Roman"/>
                <w:b/>
                <w:bCs/>
                <w:color w:val="000000" w:themeColor="text1"/>
              </w:rPr>
            </w:pPr>
            <w:r w:rsidRPr="008445A9">
              <w:rPr>
                <w:rFonts w:ascii="Times New Roman" w:eastAsia="Calibri" w:hAnsi="Times New Roman" w:cs="Times New Roman"/>
                <w:b/>
                <w:bCs/>
                <w:color w:val="000000" w:themeColor="text1"/>
              </w:rPr>
              <w:t>Projektimeeskonna kogemuse kirjeldus</w:t>
            </w:r>
          </w:p>
        </w:tc>
        <w:tc>
          <w:tcPr>
            <w:tcW w:w="1276" w:type="dxa"/>
            <w:shd w:val="clear" w:color="auto" w:fill="DAE9F7" w:themeFill="text2" w:themeFillTint="1A"/>
          </w:tcPr>
          <w:p w14:paraId="5925476A" w14:textId="5292E3F4" w:rsidR="008445A9" w:rsidRPr="00DA1967" w:rsidRDefault="008445A9" w:rsidP="008445A9">
            <w:pPr>
              <w:jc w:val="both"/>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Väärtus-punktide arv</w:t>
            </w:r>
          </w:p>
        </w:tc>
      </w:tr>
      <w:tr w:rsidR="00B11C1B" w14:paraId="73B7640A" w14:textId="77777777" w:rsidTr="16D98A7B">
        <w:tc>
          <w:tcPr>
            <w:tcW w:w="7763" w:type="dxa"/>
          </w:tcPr>
          <w:p w14:paraId="74E47B29" w14:textId="0A9C5E85" w:rsidR="00B11C1B" w:rsidRDefault="00B11C1B" w:rsidP="001F38F8">
            <w:pPr>
              <w:jc w:val="both"/>
              <w:rPr>
                <w:rFonts w:ascii="Times New Roman" w:eastAsia="Calibri" w:hAnsi="Times New Roman" w:cs="Times New Roman"/>
                <w:color w:val="000000" w:themeColor="text1"/>
              </w:rPr>
            </w:pPr>
            <w:r w:rsidRPr="3EE0DC0A">
              <w:rPr>
                <w:rFonts w:ascii="Times New Roman" w:eastAsia="Calibri" w:hAnsi="Times New Roman" w:cs="Times New Roman"/>
                <w:color w:val="000000" w:themeColor="text1"/>
              </w:rPr>
              <w:t xml:space="preserve">Projekti meeskonnaliikmete kombineeritud töökogemus hõlmab </w:t>
            </w:r>
            <w:r w:rsidR="00FF7E66" w:rsidRPr="3EE0DC0A">
              <w:rPr>
                <w:rFonts w:ascii="Times New Roman" w:eastAsia="Calibri" w:hAnsi="Times New Roman" w:cs="Times New Roman"/>
                <w:color w:val="000000" w:themeColor="text1"/>
              </w:rPr>
              <w:t xml:space="preserve">üheaegselt </w:t>
            </w:r>
            <w:r w:rsidRPr="3EE0DC0A">
              <w:rPr>
                <w:rFonts w:ascii="Times New Roman" w:eastAsia="Calibri" w:hAnsi="Times New Roman" w:cs="Times New Roman"/>
                <w:color w:val="000000" w:themeColor="text1"/>
              </w:rPr>
              <w:t>vähemalt üht projekti avaliku sektoriga ja vähemalt kaht</w:t>
            </w:r>
            <w:r w:rsidR="00BA1CB3" w:rsidRPr="3EE0DC0A">
              <w:rPr>
                <w:rFonts w:ascii="Times New Roman" w:eastAsia="Calibri" w:hAnsi="Times New Roman" w:cs="Times New Roman"/>
                <w:color w:val="000000" w:themeColor="text1"/>
              </w:rPr>
              <w:t>e</w:t>
            </w:r>
            <w:r w:rsidRPr="3EE0DC0A">
              <w:rPr>
                <w:rFonts w:ascii="Times New Roman" w:eastAsia="Calibri" w:hAnsi="Times New Roman" w:cs="Times New Roman"/>
                <w:color w:val="000000" w:themeColor="text1"/>
              </w:rPr>
              <w:t xml:space="preserve"> projekti ruumiandmete</w:t>
            </w:r>
            <w:r w:rsidR="00270423" w:rsidRPr="3EE0DC0A">
              <w:rPr>
                <w:rFonts w:ascii="Times New Roman" w:eastAsia="Calibri" w:hAnsi="Times New Roman" w:cs="Times New Roman"/>
                <w:color w:val="000000" w:themeColor="text1"/>
              </w:rPr>
              <w:t>ga</w:t>
            </w:r>
            <w:r w:rsidR="00BA1CB3" w:rsidRPr="3EE0DC0A">
              <w:rPr>
                <w:rFonts w:ascii="Times New Roman" w:eastAsia="Calibri" w:hAnsi="Times New Roman" w:cs="Times New Roman"/>
                <w:color w:val="000000" w:themeColor="text1"/>
              </w:rPr>
              <w:t xml:space="preserve"> ja </w:t>
            </w:r>
            <w:r w:rsidR="0067754F">
              <w:rPr>
                <w:rFonts w:ascii="Times New Roman" w:eastAsia="Calibri" w:hAnsi="Times New Roman" w:cs="Times New Roman"/>
                <w:color w:val="000000" w:themeColor="text1"/>
              </w:rPr>
              <w:t xml:space="preserve">vähemalt kolme </w:t>
            </w:r>
            <w:r w:rsidR="00BA1CB3" w:rsidRPr="3EE0DC0A">
              <w:rPr>
                <w:rFonts w:ascii="Times New Roman" w:eastAsia="Calibri" w:hAnsi="Times New Roman" w:cs="Times New Roman"/>
                <w:color w:val="000000" w:themeColor="text1"/>
              </w:rPr>
              <w:t>süvaõppeprojekti.</w:t>
            </w:r>
          </w:p>
          <w:p w14:paraId="353901F5" w14:textId="6976644F" w:rsidR="00BA1CB3" w:rsidRPr="00DA1967" w:rsidRDefault="00BA1CB3" w:rsidP="001F38F8">
            <w:pPr>
              <w:jc w:val="both"/>
              <w:rPr>
                <w:rFonts w:ascii="Times New Roman" w:eastAsia="Calibri" w:hAnsi="Times New Roman" w:cs="Times New Roman"/>
                <w:color w:val="000000" w:themeColor="text1"/>
              </w:rPr>
            </w:pPr>
          </w:p>
        </w:tc>
        <w:tc>
          <w:tcPr>
            <w:tcW w:w="1276" w:type="dxa"/>
          </w:tcPr>
          <w:p w14:paraId="670CDE41" w14:textId="44F39247" w:rsidR="00B11C1B" w:rsidRPr="00DA1967" w:rsidRDefault="00B11C1B" w:rsidP="00814666">
            <w:pPr>
              <w:spacing w:line="360" w:lineRule="auto"/>
              <w:jc w:val="both"/>
              <w:rPr>
                <w:rFonts w:ascii="Times New Roman" w:eastAsia="Calibri" w:hAnsi="Times New Roman" w:cs="Times New Roman"/>
                <w:b/>
                <w:bCs/>
                <w:color w:val="000000" w:themeColor="text1"/>
              </w:rPr>
            </w:pPr>
            <w:r w:rsidRPr="00DA1967">
              <w:rPr>
                <w:rFonts w:ascii="Times New Roman" w:eastAsia="Calibri" w:hAnsi="Times New Roman" w:cs="Times New Roman"/>
                <w:b/>
                <w:bCs/>
                <w:color w:val="000000" w:themeColor="text1"/>
              </w:rPr>
              <w:t>20</w:t>
            </w:r>
          </w:p>
        </w:tc>
      </w:tr>
      <w:tr w:rsidR="00B11C1B" w14:paraId="79E84728" w14:textId="77777777" w:rsidTr="16D98A7B">
        <w:tc>
          <w:tcPr>
            <w:tcW w:w="7763" w:type="dxa"/>
          </w:tcPr>
          <w:p w14:paraId="710FFC23" w14:textId="10A74E55" w:rsidR="00BA1CB3" w:rsidRDefault="00B11C1B" w:rsidP="001F38F8">
            <w:pPr>
              <w:jc w:val="both"/>
              <w:rPr>
                <w:rFonts w:ascii="Times New Roman" w:eastAsia="Calibri" w:hAnsi="Times New Roman" w:cs="Times New Roman"/>
                <w:color w:val="000000" w:themeColor="text1"/>
              </w:rPr>
            </w:pPr>
            <w:r w:rsidRPr="00DA1967">
              <w:rPr>
                <w:rFonts w:ascii="Times New Roman" w:eastAsia="Calibri" w:hAnsi="Times New Roman" w:cs="Times New Roman"/>
                <w:color w:val="000000" w:themeColor="text1"/>
              </w:rPr>
              <w:t>Projekti meeskonnaliikmete kombineeritud töökogemus hõlmab</w:t>
            </w:r>
            <w:r w:rsidR="00BA1CB3">
              <w:rPr>
                <w:rFonts w:ascii="Times New Roman" w:eastAsia="Calibri" w:hAnsi="Times New Roman" w:cs="Times New Roman"/>
                <w:color w:val="000000" w:themeColor="text1"/>
              </w:rPr>
              <w:t>:</w:t>
            </w:r>
            <w:r w:rsidRPr="00DA1967">
              <w:rPr>
                <w:rFonts w:ascii="Times New Roman" w:eastAsia="Calibri" w:hAnsi="Times New Roman" w:cs="Times New Roman"/>
                <w:color w:val="000000" w:themeColor="text1"/>
              </w:rPr>
              <w:t xml:space="preserve"> </w:t>
            </w:r>
          </w:p>
          <w:p w14:paraId="7390AF70" w14:textId="77777777" w:rsidR="00BA1CB3" w:rsidRDefault="00BA1CB3" w:rsidP="00BA1CB3">
            <w:pPr>
              <w:jc w:val="both"/>
              <w:rPr>
                <w:rFonts w:ascii="Times New Roman" w:eastAsia="Calibri" w:hAnsi="Times New Roman" w:cs="Times New Roman"/>
                <w:color w:val="000000" w:themeColor="text1"/>
              </w:rPr>
            </w:pPr>
          </w:p>
          <w:p w14:paraId="2E560F02" w14:textId="35FF086E" w:rsidR="00BA1CB3" w:rsidRPr="00BA1CB3" w:rsidRDefault="00BA1CB3" w:rsidP="00A2722A">
            <w:pPr>
              <w:pStyle w:val="ListParagraph"/>
              <w:numPr>
                <w:ilvl w:val="0"/>
                <w:numId w:val="5"/>
              </w:numPr>
              <w:jc w:val="both"/>
              <w:rPr>
                <w:rFonts w:ascii="Times New Roman" w:eastAsia="Calibri" w:hAnsi="Times New Roman" w:cs="Times New Roman"/>
                <w:color w:val="000000" w:themeColor="text1"/>
              </w:rPr>
            </w:pPr>
            <w:r w:rsidRPr="00BA1CB3">
              <w:rPr>
                <w:rFonts w:ascii="Times New Roman" w:eastAsia="Calibri" w:hAnsi="Times New Roman" w:cs="Times New Roman"/>
                <w:color w:val="000000" w:themeColor="text1"/>
              </w:rPr>
              <w:t>vähemalt üht projekti avaliku sektoriga JA kaht projekti ruumiandmetega</w:t>
            </w:r>
            <w:r>
              <w:rPr>
                <w:rFonts w:ascii="Times New Roman" w:eastAsia="Calibri" w:hAnsi="Times New Roman" w:cs="Times New Roman"/>
                <w:color w:val="000000" w:themeColor="text1"/>
              </w:rPr>
              <w:t>;</w:t>
            </w:r>
            <w:r w:rsidRPr="00BA1CB3">
              <w:rPr>
                <w:rFonts w:ascii="Times New Roman" w:eastAsia="Calibri" w:hAnsi="Times New Roman" w:cs="Times New Roman"/>
                <w:color w:val="000000" w:themeColor="text1"/>
              </w:rPr>
              <w:t xml:space="preserve"> </w:t>
            </w:r>
          </w:p>
          <w:p w14:paraId="368A8D6E" w14:textId="77777777" w:rsidR="00BA1CB3" w:rsidRPr="00BA1CB3" w:rsidRDefault="00BA1CB3" w:rsidP="00BA1CB3">
            <w:pPr>
              <w:jc w:val="both"/>
              <w:rPr>
                <w:rFonts w:ascii="Times New Roman" w:eastAsia="Calibri" w:hAnsi="Times New Roman" w:cs="Times New Roman"/>
                <w:color w:val="000000" w:themeColor="text1"/>
              </w:rPr>
            </w:pPr>
          </w:p>
          <w:p w14:paraId="7B0DA7E5" w14:textId="02371076" w:rsidR="00BA1CB3" w:rsidRDefault="00BA1CB3" w:rsidP="00A2722A">
            <w:pPr>
              <w:pStyle w:val="ListParagraph"/>
              <w:numPr>
                <w:ilvl w:val="0"/>
                <w:numId w:val="5"/>
              </w:numPr>
              <w:jc w:val="both"/>
              <w:rPr>
                <w:rFonts w:ascii="Times New Roman" w:eastAsia="Calibri" w:hAnsi="Times New Roman" w:cs="Times New Roman"/>
                <w:color w:val="000000" w:themeColor="text1"/>
              </w:rPr>
            </w:pPr>
            <w:r w:rsidRPr="00BA1CB3">
              <w:rPr>
                <w:rFonts w:ascii="Times New Roman" w:eastAsia="Calibri" w:hAnsi="Times New Roman" w:cs="Times New Roman"/>
                <w:color w:val="000000" w:themeColor="text1"/>
              </w:rPr>
              <w:t xml:space="preserve">VÕI </w:t>
            </w:r>
            <w:r w:rsidR="007F74F8">
              <w:rPr>
                <w:rFonts w:ascii="Times New Roman" w:eastAsia="Calibri" w:hAnsi="Times New Roman" w:cs="Times New Roman"/>
                <w:color w:val="000000" w:themeColor="text1"/>
              </w:rPr>
              <w:t xml:space="preserve">vähemalt kolme </w:t>
            </w:r>
            <w:r w:rsidRPr="00BA1CB3">
              <w:rPr>
                <w:rFonts w:ascii="Times New Roman" w:eastAsia="Calibri" w:hAnsi="Times New Roman" w:cs="Times New Roman"/>
                <w:color w:val="000000" w:themeColor="text1"/>
              </w:rPr>
              <w:t xml:space="preserve">süvaõppeprojekti JA vähemalt kaht projekti ruumiandmetega  </w:t>
            </w:r>
          </w:p>
          <w:p w14:paraId="55EEFFFD" w14:textId="77777777" w:rsidR="00BA1CB3" w:rsidRPr="00BA1CB3" w:rsidRDefault="00BA1CB3" w:rsidP="00BA1CB3">
            <w:pPr>
              <w:pStyle w:val="ListParagraph"/>
              <w:rPr>
                <w:rFonts w:ascii="Times New Roman" w:eastAsia="Calibri" w:hAnsi="Times New Roman" w:cs="Times New Roman"/>
                <w:color w:val="000000" w:themeColor="text1"/>
              </w:rPr>
            </w:pPr>
          </w:p>
          <w:p w14:paraId="342B1423" w14:textId="23E0010E" w:rsidR="00BA1CB3" w:rsidRPr="00FF7E66" w:rsidRDefault="007F74F8" w:rsidP="00A2722A">
            <w:pPr>
              <w:pStyle w:val="ListParagraph"/>
              <w:numPr>
                <w:ilvl w:val="0"/>
                <w:numId w:val="5"/>
              </w:numPr>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vähemalt</w:t>
            </w:r>
            <w:r w:rsidR="00BA1CB3" w:rsidRPr="00FF7E66">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kolme</w:t>
            </w:r>
            <w:r w:rsidR="00BA1CB3" w:rsidRPr="00FF7E66">
              <w:rPr>
                <w:rFonts w:ascii="Times New Roman" w:eastAsia="Calibri" w:hAnsi="Times New Roman" w:cs="Times New Roman"/>
                <w:color w:val="000000" w:themeColor="text1"/>
              </w:rPr>
              <w:t xml:space="preserve"> süvaõppeprojekti </w:t>
            </w:r>
            <w:r w:rsidR="00796B66">
              <w:rPr>
                <w:rFonts w:ascii="Times New Roman" w:eastAsia="Calibri" w:hAnsi="Times New Roman" w:cs="Times New Roman"/>
                <w:color w:val="000000" w:themeColor="text1"/>
              </w:rPr>
              <w:t xml:space="preserve">JA </w:t>
            </w:r>
            <w:r w:rsidR="00BA1CB3" w:rsidRPr="00FF7E66">
              <w:rPr>
                <w:rFonts w:ascii="Times New Roman" w:eastAsia="Calibri" w:hAnsi="Times New Roman" w:cs="Times New Roman"/>
                <w:color w:val="000000" w:themeColor="text1"/>
              </w:rPr>
              <w:t>vähemalt üht projekti avaliku sektoriga.</w:t>
            </w:r>
          </w:p>
          <w:p w14:paraId="5D85BA35" w14:textId="69BE24D2" w:rsidR="00B11C1B" w:rsidRPr="00DA1967" w:rsidRDefault="00B11C1B" w:rsidP="001F38F8">
            <w:pPr>
              <w:jc w:val="both"/>
              <w:rPr>
                <w:rFonts w:ascii="Times New Roman" w:eastAsia="Calibri" w:hAnsi="Times New Roman" w:cs="Times New Roman"/>
                <w:color w:val="000000" w:themeColor="text1"/>
              </w:rPr>
            </w:pPr>
          </w:p>
        </w:tc>
        <w:tc>
          <w:tcPr>
            <w:tcW w:w="1276" w:type="dxa"/>
          </w:tcPr>
          <w:p w14:paraId="6E4576B7" w14:textId="0D74EAEF" w:rsidR="00B11C1B" w:rsidRPr="00DA1967" w:rsidRDefault="00B11C1B" w:rsidP="00814666">
            <w:pPr>
              <w:spacing w:line="360" w:lineRule="auto"/>
              <w:jc w:val="both"/>
              <w:rPr>
                <w:rFonts w:ascii="Times New Roman" w:eastAsia="Calibri" w:hAnsi="Times New Roman" w:cs="Times New Roman"/>
                <w:b/>
                <w:bCs/>
                <w:color w:val="000000" w:themeColor="text1"/>
              </w:rPr>
            </w:pPr>
            <w:r w:rsidRPr="00DA1967">
              <w:rPr>
                <w:rFonts w:ascii="Times New Roman" w:eastAsia="Calibri" w:hAnsi="Times New Roman" w:cs="Times New Roman"/>
                <w:b/>
                <w:bCs/>
                <w:color w:val="000000" w:themeColor="text1"/>
              </w:rPr>
              <w:t>10</w:t>
            </w:r>
          </w:p>
        </w:tc>
      </w:tr>
      <w:tr w:rsidR="00B11C1B" w14:paraId="594C8F5C" w14:textId="77777777" w:rsidTr="16D98A7B">
        <w:tc>
          <w:tcPr>
            <w:tcW w:w="7763" w:type="dxa"/>
          </w:tcPr>
          <w:p w14:paraId="0BD6E86C" w14:textId="77777777" w:rsidR="00B11C1B" w:rsidRDefault="00B11C1B" w:rsidP="001F38F8">
            <w:pPr>
              <w:jc w:val="both"/>
              <w:rPr>
                <w:rFonts w:ascii="Times New Roman" w:eastAsia="Calibri" w:hAnsi="Times New Roman" w:cs="Times New Roman"/>
                <w:color w:val="000000" w:themeColor="text1"/>
              </w:rPr>
            </w:pPr>
            <w:r w:rsidRPr="16D98A7B">
              <w:rPr>
                <w:rFonts w:ascii="Times New Roman" w:eastAsia="Calibri" w:hAnsi="Times New Roman" w:cs="Times New Roman"/>
                <w:color w:val="000000" w:themeColor="text1"/>
              </w:rPr>
              <w:t xml:space="preserve">Projekti meeskonnaliikmete töökogemus vastab </w:t>
            </w:r>
            <w:r w:rsidR="00DA1967" w:rsidRPr="16D98A7B">
              <w:rPr>
                <w:rFonts w:ascii="Times New Roman" w:eastAsia="Calibri" w:hAnsi="Times New Roman" w:cs="Times New Roman"/>
                <w:color w:val="000000" w:themeColor="text1"/>
              </w:rPr>
              <w:t xml:space="preserve">riigihanke alusdokumentides sätestatud </w:t>
            </w:r>
            <w:r w:rsidRPr="16D98A7B">
              <w:rPr>
                <w:rFonts w:ascii="Times New Roman" w:eastAsia="Calibri" w:hAnsi="Times New Roman" w:cs="Times New Roman"/>
                <w:color w:val="000000" w:themeColor="text1"/>
              </w:rPr>
              <w:t>miinimumnõuetele</w:t>
            </w:r>
            <w:r w:rsidR="00FF7E66" w:rsidRPr="16D98A7B">
              <w:rPr>
                <w:rFonts w:ascii="Times New Roman" w:eastAsia="Calibri" w:hAnsi="Times New Roman" w:cs="Times New Roman"/>
                <w:color w:val="000000" w:themeColor="text1"/>
              </w:rPr>
              <w:t xml:space="preserve"> ( s</w:t>
            </w:r>
            <w:r w:rsidR="0067754F">
              <w:rPr>
                <w:rFonts w:ascii="Times New Roman" w:eastAsia="Calibri" w:hAnsi="Times New Roman" w:cs="Times New Roman"/>
                <w:color w:val="000000" w:themeColor="text1"/>
              </w:rPr>
              <w:t>h</w:t>
            </w:r>
            <w:r w:rsidR="00FF7E66" w:rsidRPr="16D98A7B">
              <w:rPr>
                <w:rFonts w:ascii="Times New Roman" w:eastAsia="Calibri" w:hAnsi="Times New Roman" w:cs="Times New Roman"/>
                <w:color w:val="000000" w:themeColor="text1"/>
              </w:rPr>
              <w:t xml:space="preserve"> vähemalt 2 süvaõppeprojekti ja vähemalt 1 projekt ruumiandmetega) </w:t>
            </w:r>
            <w:r w:rsidR="00514D7F">
              <w:rPr>
                <w:rFonts w:ascii="Times New Roman" w:eastAsia="Calibri" w:hAnsi="Times New Roman" w:cs="Times New Roman"/>
                <w:color w:val="000000" w:themeColor="text1"/>
              </w:rPr>
              <w:t>.</w:t>
            </w:r>
          </w:p>
          <w:p w14:paraId="5EFED353" w14:textId="6290F543" w:rsidR="00514D7F" w:rsidRPr="00DA1967" w:rsidRDefault="00514D7F" w:rsidP="001F38F8">
            <w:pPr>
              <w:jc w:val="both"/>
              <w:rPr>
                <w:rFonts w:ascii="Times New Roman" w:eastAsia="Calibri" w:hAnsi="Times New Roman" w:cs="Times New Roman"/>
                <w:color w:val="000000" w:themeColor="text1"/>
              </w:rPr>
            </w:pPr>
          </w:p>
        </w:tc>
        <w:tc>
          <w:tcPr>
            <w:tcW w:w="1276" w:type="dxa"/>
          </w:tcPr>
          <w:p w14:paraId="70FDF27D" w14:textId="4503CBBB" w:rsidR="00B11C1B" w:rsidRPr="00DA1967" w:rsidRDefault="00B11C1B" w:rsidP="00814666">
            <w:pPr>
              <w:spacing w:line="360" w:lineRule="auto"/>
              <w:jc w:val="both"/>
              <w:rPr>
                <w:rFonts w:ascii="Times New Roman" w:eastAsia="Calibri" w:hAnsi="Times New Roman" w:cs="Times New Roman"/>
                <w:b/>
                <w:bCs/>
                <w:color w:val="000000" w:themeColor="text1"/>
              </w:rPr>
            </w:pPr>
            <w:r w:rsidRPr="00DA1967">
              <w:rPr>
                <w:rFonts w:ascii="Times New Roman" w:eastAsia="Calibri" w:hAnsi="Times New Roman" w:cs="Times New Roman"/>
                <w:b/>
                <w:bCs/>
                <w:color w:val="000000" w:themeColor="text1"/>
              </w:rPr>
              <w:t>0</w:t>
            </w:r>
          </w:p>
        </w:tc>
      </w:tr>
    </w:tbl>
    <w:p w14:paraId="36358BA6" w14:textId="77777777" w:rsidR="00DA1967" w:rsidRDefault="00DA1967" w:rsidP="00814666">
      <w:pPr>
        <w:spacing w:line="360" w:lineRule="auto"/>
        <w:jc w:val="both"/>
        <w:rPr>
          <w:rFonts w:ascii="Times New Roman" w:eastAsia="Calibri" w:hAnsi="Times New Roman" w:cs="Times New Roman"/>
          <w:b/>
          <w:bCs/>
          <w:color w:val="000000" w:themeColor="text1"/>
          <w:sz w:val="24"/>
          <w:szCs w:val="24"/>
        </w:rPr>
      </w:pPr>
    </w:p>
    <w:p w14:paraId="16C09062" w14:textId="48FD0C9C" w:rsidR="00AD681C" w:rsidRPr="00F00BE5" w:rsidRDefault="7FD43743" w:rsidP="00A2722A">
      <w:pPr>
        <w:pStyle w:val="ListParagraph"/>
        <w:numPr>
          <w:ilvl w:val="0"/>
          <w:numId w:val="6"/>
        </w:numPr>
        <w:spacing w:line="360" w:lineRule="auto"/>
        <w:ind w:left="142" w:hanging="284"/>
        <w:jc w:val="both"/>
        <w:rPr>
          <w:rFonts w:ascii="Times New Roman" w:eastAsia="Calibri" w:hAnsi="Times New Roman" w:cs="Times New Roman"/>
          <w:b/>
          <w:bCs/>
          <w:color w:val="000000" w:themeColor="text1"/>
        </w:rPr>
      </w:pPr>
      <w:r w:rsidRPr="00F00BE5">
        <w:rPr>
          <w:rFonts w:ascii="Times New Roman" w:eastAsia="Calibri" w:hAnsi="Times New Roman" w:cs="Times New Roman"/>
          <w:b/>
          <w:bCs/>
          <w:color w:val="000000" w:themeColor="text1"/>
        </w:rPr>
        <w:t xml:space="preserve">Proovitöö - </w:t>
      </w:r>
      <w:r w:rsidR="008445A9" w:rsidRPr="00F00BE5">
        <w:rPr>
          <w:rFonts w:ascii="Times New Roman" w:eastAsia="Calibri" w:hAnsi="Times New Roman" w:cs="Times New Roman"/>
          <w:b/>
          <w:bCs/>
          <w:color w:val="000000" w:themeColor="text1"/>
        </w:rPr>
        <w:t>maksimaalselt</w:t>
      </w:r>
      <w:r w:rsidRPr="00F00BE5">
        <w:rPr>
          <w:rFonts w:ascii="Times New Roman" w:eastAsia="Calibri" w:hAnsi="Times New Roman" w:cs="Times New Roman"/>
          <w:b/>
          <w:bCs/>
          <w:color w:val="000000" w:themeColor="text1"/>
        </w:rPr>
        <w:t xml:space="preserve"> 40 punkti</w:t>
      </w:r>
    </w:p>
    <w:p w14:paraId="2D754728" w14:textId="2ADC2C90" w:rsidR="00AD681C" w:rsidRPr="00DA1967" w:rsidRDefault="27AF16F3" w:rsidP="00814666">
      <w:pPr>
        <w:jc w:val="both"/>
        <w:rPr>
          <w:rFonts w:ascii="Times New Roman" w:eastAsia="Calibri" w:hAnsi="Times New Roman" w:cs="Times New Roman"/>
          <w:color w:val="000000" w:themeColor="text1"/>
        </w:rPr>
      </w:pPr>
      <w:r w:rsidRPr="00DA1967">
        <w:rPr>
          <w:rFonts w:ascii="Times New Roman" w:eastAsia="Calibri" w:hAnsi="Times New Roman" w:cs="Times New Roman"/>
          <w:color w:val="000000" w:themeColor="text1"/>
        </w:rPr>
        <w:t xml:space="preserve">Proovitööd hinnatakse iga väljundi alusel, st kolmes kategoorias. Väljundite hindamise kirjeldused ja kaalud on allolevas tabelis. Proovitöö kvaliteeti hindavad hankija hankekomisjoni liikmed kollektiivselt. </w:t>
      </w:r>
      <w:r w:rsidR="61A294DA" w:rsidRPr="00DA1967">
        <w:rPr>
          <w:rFonts w:ascii="Times New Roman" w:eastAsia="Calibri" w:hAnsi="Times New Roman" w:cs="Times New Roman"/>
          <w:color w:val="000000" w:themeColor="text1"/>
        </w:rPr>
        <w:t xml:space="preserve">Kõik </w:t>
      </w:r>
      <w:r w:rsidRPr="00DA1967">
        <w:rPr>
          <w:rFonts w:ascii="Times New Roman" w:eastAsia="Calibri" w:hAnsi="Times New Roman" w:cs="Times New Roman"/>
          <w:color w:val="000000" w:themeColor="text1"/>
        </w:rPr>
        <w:t xml:space="preserve">alamkriteeriumile antud </w:t>
      </w:r>
      <w:r w:rsidR="00DA1967">
        <w:rPr>
          <w:rFonts w:ascii="Times New Roman" w:eastAsia="Calibri" w:hAnsi="Times New Roman" w:cs="Times New Roman"/>
          <w:color w:val="000000" w:themeColor="text1"/>
        </w:rPr>
        <w:t>väärtuspunktid</w:t>
      </w:r>
      <w:r w:rsidR="4F8FD0B7" w:rsidRPr="00DA1967">
        <w:rPr>
          <w:rFonts w:ascii="Times New Roman" w:eastAsia="Calibri" w:hAnsi="Times New Roman" w:cs="Times New Roman"/>
          <w:color w:val="000000" w:themeColor="text1"/>
        </w:rPr>
        <w:t xml:space="preserve"> liidetakse, et saada proovitöö koondhinne.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75"/>
        <w:gridCol w:w="2895"/>
        <w:gridCol w:w="3015"/>
      </w:tblGrid>
      <w:tr w:rsidR="2DE6A8AB" w:rsidRPr="00DA1967" w14:paraId="21061FC1" w14:textId="77777777" w:rsidTr="2F95CF60">
        <w:trPr>
          <w:trHeight w:val="300"/>
        </w:trPr>
        <w:tc>
          <w:tcPr>
            <w:tcW w:w="3075" w:type="dxa"/>
            <w:shd w:val="clear" w:color="auto" w:fill="DAE9F7" w:themeFill="text2" w:themeFillTint="1A"/>
            <w:tcMar>
              <w:left w:w="105" w:type="dxa"/>
              <w:right w:w="105" w:type="dxa"/>
            </w:tcMar>
          </w:tcPr>
          <w:p w14:paraId="5013D41B" w14:textId="1E5B9385" w:rsidR="2DE6A8AB" w:rsidRPr="00DA1967" w:rsidRDefault="41C7D5AE" w:rsidP="00DA1967">
            <w:pPr>
              <w:rPr>
                <w:rFonts w:ascii="Times New Roman" w:eastAsia="Calibri" w:hAnsi="Times New Roman" w:cs="Times New Roman"/>
                <w:b/>
                <w:bCs/>
                <w:color w:val="000000" w:themeColor="text1"/>
              </w:rPr>
            </w:pPr>
            <w:r w:rsidRPr="2F95CF60">
              <w:rPr>
                <w:rFonts w:ascii="Times New Roman" w:eastAsia="Calibri" w:hAnsi="Times New Roman" w:cs="Times New Roman"/>
                <w:b/>
                <w:bCs/>
              </w:rPr>
              <w:t>Väljund 1: Mudeli edukus akende tuvastamisel</w:t>
            </w:r>
            <w:r w:rsidR="51746E40" w:rsidRPr="2F95CF60">
              <w:rPr>
                <w:rFonts w:ascii="Times New Roman" w:eastAsia="Calibri" w:hAnsi="Times New Roman" w:cs="Times New Roman"/>
                <w:b/>
                <w:bCs/>
              </w:rPr>
              <w:t>*</w:t>
            </w:r>
          </w:p>
          <w:p w14:paraId="6A8CFC44" w14:textId="5409CB1E" w:rsidR="2DE6A8AB" w:rsidRPr="00DA1967" w:rsidRDefault="00DA1967" w:rsidP="00DA1967">
            <w:pPr>
              <w:rPr>
                <w:rFonts w:ascii="Times New Roman" w:eastAsia="Calibri" w:hAnsi="Times New Roman" w:cs="Times New Roman"/>
                <w:b/>
                <w:bCs/>
              </w:rPr>
            </w:pPr>
            <w:r w:rsidRPr="00DA1967">
              <w:rPr>
                <w:rFonts w:ascii="Times New Roman" w:eastAsia="Calibri" w:hAnsi="Times New Roman" w:cs="Times New Roman"/>
                <w:b/>
                <w:bCs/>
              </w:rPr>
              <w:t xml:space="preserve">Maksimaalselt </w:t>
            </w:r>
            <w:r w:rsidR="0741A37B" w:rsidRPr="00DA1967">
              <w:rPr>
                <w:rFonts w:ascii="Times New Roman" w:eastAsia="Calibri" w:hAnsi="Times New Roman" w:cs="Times New Roman"/>
                <w:b/>
                <w:bCs/>
              </w:rPr>
              <w:t>20 punkti</w:t>
            </w:r>
          </w:p>
        </w:tc>
        <w:tc>
          <w:tcPr>
            <w:tcW w:w="2895" w:type="dxa"/>
            <w:shd w:val="clear" w:color="auto" w:fill="DAE9F7" w:themeFill="text2" w:themeFillTint="1A"/>
            <w:tcMar>
              <w:left w:w="105" w:type="dxa"/>
              <w:right w:w="105" w:type="dxa"/>
            </w:tcMar>
          </w:tcPr>
          <w:p w14:paraId="148032DA" w14:textId="50E6B374" w:rsidR="2DE6A8AB" w:rsidRPr="00DA1967" w:rsidRDefault="41C7D5AE" w:rsidP="00DA1967">
            <w:pPr>
              <w:rPr>
                <w:rFonts w:ascii="Times New Roman" w:eastAsia="Calibri" w:hAnsi="Times New Roman" w:cs="Times New Roman"/>
                <w:b/>
                <w:bCs/>
                <w:color w:val="000000" w:themeColor="text1"/>
              </w:rPr>
            </w:pPr>
            <w:r w:rsidRPr="00DA1967">
              <w:rPr>
                <w:rFonts w:ascii="Times New Roman" w:eastAsia="Calibri" w:hAnsi="Times New Roman" w:cs="Times New Roman"/>
                <w:b/>
                <w:bCs/>
              </w:rPr>
              <w:t>Väljund 2: Mudeli kood</w:t>
            </w:r>
          </w:p>
          <w:p w14:paraId="22D51A59" w14:textId="0C1F519A" w:rsidR="2DE6A8AB" w:rsidRPr="00DA1967" w:rsidRDefault="2DE6A8AB" w:rsidP="00DA1967">
            <w:pPr>
              <w:rPr>
                <w:rFonts w:ascii="Times New Roman" w:eastAsia="Calibri" w:hAnsi="Times New Roman" w:cs="Times New Roman"/>
                <w:b/>
                <w:bCs/>
                <w:color w:val="000000" w:themeColor="text1"/>
              </w:rPr>
            </w:pPr>
          </w:p>
          <w:p w14:paraId="6A36F2EA" w14:textId="24859E82" w:rsidR="2DE6A8AB" w:rsidRPr="00DA1967" w:rsidRDefault="00DA1967" w:rsidP="00DA1967">
            <w:pPr>
              <w:rPr>
                <w:rFonts w:ascii="Times New Roman" w:eastAsia="Calibri" w:hAnsi="Times New Roman" w:cs="Times New Roman"/>
                <w:b/>
                <w:bCs/>
              </w:rPr>
            </w:pPr>
            <w:r w:rsidRPr="00DA1967">
              <w:rPr>
                <w:rFonts w:ascii="Times New Roman" w:eastAsia="Calibri" w:hAnsi="Times New Roman" w:cs="Times New Roman"/>
                <w:b/>
                <w:bCs/>
              </w:rPr>
              <w:t xml:space="preserve">Maksimaalselt </w:t>
            </w:r>
            <w:r w:rsidR="082DC5D3" w:rsidRPr="00DA1967">
              <w:rPr>
                <w:rFonts w:ascii="Times New Roman" w:eastAsia="Calibri" w:hAnsi="Times New Roman" w:cs="Times New Roman"/>
                <w:b/>
                <w:bCs/>
              </w:rPr>
              <w:t>10 punkti</w:t>
            </w:r>
          </w:p>
        </w:tc>
        <w:tc>
          <w:tcPr>
            <w:tcW w:w="3015" w:type="dxa"/>
            <w:shd w:val="clear" w:color="auto" w:fill="DAE9F7" w:themeFill="text2" w:themeFillTint="1A"/>
            <w:tcMar>
              <w:left w:w="105" w:type="dxa"/>
              <w:right w:w="105" w:type="dxa"/>
            </w:tcMar>
          </w:tcPr>
          <w:p w14:paraId="788582C0" w14:textId="6FB33C44" w:rsidR="2DE6A8AB" w:rsidRPr="00DA1967" w:rsidRDefault="41C7D5AE" w:rsidP="00DA1967">
            <w:pPr>
              <w:rPr>
                <w:rFonts w:ascii="Times New Roman" w:eastAsia="Calibri" w:hAnsi="Times New Roman" w:cs="Times New Roman"/>
                <w:b/>
                <w:bCs/>
                <w:color w:val="000000" w:themeColor="text1"/>
              </w:rPr>
            </w:pPr>
            <w:r w:rsidRPr="00DA1967">
              <w:rPr>
                <w:rFonts w:ascii="Times New Roman" w:eastAsia="Calibri" w:hAnsi="Times New Roman" w:cs="Times New Roman"/>
                <w:b/>
                <w:bCs/>
              </w:rPr>
              <w:t>Väljund 3: Proovitöö kirjeldus</w:t>
            </w:r>
          </w:p>
          <w:p w14:paraId="66F626D3" w14:textId="62772CAA" w:rsidR="2DE6A8AB" w:rsidRPr="00DA1967" w:rsidRDefault="00DA1967" w:rsidP="00DA1967">
            <w:pPr>
              <w:rPr>
                <w:rFonts w:ascii="Times New Roman" w:eastAsia="Calibri" w:hAnsi="Times New Roman" w:cs="Times New Roman"/>
                <w:b/>
                <w:bCs/>
              </w:rPr>
            </w:pPr>
            <w:r w:rsidRPr="00DA1967">
              <w:rPr>
                <w:rFonts w:ascii="Times New Roman" w:eastAsia="Calibri" w:hAnsi="Times New Roman" w:cs="Times New Roman"/>
                <w:b/>
                <w:bCs/>
              </w:rPr>
              <w:t>maksimaalselt</w:t>
            </w:r>
            <w:r w:rsidR="1CBFF2C2" w:rsidRPr="00DA1967">
              <w:rPr>
                <w:rFonts w:ascii="Times New Roman" w:eastAsia="Calibri" w:hAnsi="Times New Roman" w:cs="Times New Roman"/>
                <w:b/>
                <w:bCs/>
              </w:rPr>
              <w:t xml:space="preserve"> 10 punkti</w:t>
            </w:r>
          </w:p>
        </w:tc>
      </w:tr>
      <w:tr w:rsidR="2DE6A8AB" w:rsidRPr="00DA1967" w14:paraId="75D211B7" w14:textId="77777777" w:rsidTr="2F95CF60">
        <w:trPr>
          <w:trHeight w:val="300"/>
        </w:trPr>
        <w:tc>
          <w:tcPr>
            <w:tcW w:w="3075" w:type="dxa"/>
            <w:tcMar>
              <w:left w:w="105" w:type="dxa"/>
              <w:right w:w="105" w:type="dxa"/>
            </w:tcMar>
          </w:tcPr>
          <w:p w14:paraId="514D8784" w14:textId="09AA8572" w:rsidR="2DE6A8AB" w:rsidRPr="00DA1967" w:rsidRDefault="41C7D5AE" w:rsidP="00DA1967">
            <w:pPr>
              <w:rPr>
                <w:rFonts w:ascii="Times New Roman" w:eastAsia="Calibri" w:hAnsi="Times New Roman" w:cs="Times New Roman"/>
                <w:color w:val="000000" w:themeColor="text1"/>
              </w:rPr>
            </w:pPr>
            <w:r w:rsidRPr="33BB54C0">
              <w:rPr>
                <w:rFonts w:ascii="Times New Roman" w:eastAsia="Calibri" w:hAnsi="Times New Roman" w:cs="Times New Roman"/>
                <w:color w:val="000000" w:themeColor="text1"/>
              </w:rPr>
              <w:t>Mudeli eest omistatakse </w:t>
            </w:r>
            <w:r w:rsidR="2E1D0009" w:rsidRPr="33BB54C0">
              <w:rPr>
                <w:rFonts w:ascii="Times New Roman" w:eastAsia="Calibri" w:hAnsi="Times New Roman" w:cs="Times New Roman"/>
                <w:b/>
                <w:bCs/>
                <w:color w:val="000000" w:themeColor="text1"/>
              </w:rPr>
              <w:t>20</w:t>
            </w:r>
            <w:r w:rsidRPr="33BB54C0">
              <w:rPr>
                <w:rFonts w:ascii="Times New Roman" w:eastAsia="Calibri" w:hAnsi="Times New Roman" w:cs="Times New Roman"/>
                <w:color w:val="000000" w:themeColor="text1"/>
              </w:rPr>
              <w:t xml:space="preserve"> punkti, kui mudel suudab kontrollalal akende </w:t>
            </w:r>
            <w:r w:rsidR="54F97A61" w:rsidRPr="33BB54C0">
              <w:rPr>
                <w:rFonts w:ascii="Times New Roman" w:eastAsia="Calibri" w:hAnsi="Times New Roman" w:cs="Times New Roman"/>
                <w:color w:val="000000" w:themeColor="text1"/>
              </w:rPr>
              <w:t>pind</w:t>
            </w:r>
            <w:r w:rsidRPr="33BB54C0">
              <w:rPr>
                <w:rFonts w:ascii="Times New Roman" w:eastAsia="Calibri" w:hAnsi="Times New Roman" w:cs="Times New Roman"/>
                <w:color w:val="000000" w:themeColor="text1"/>
              </w:rPr>
              <w:t>geomeetriat tuvastada ja mudeli F1-skoor</w:t>
            </w:r>
            <w:r w:rsidRPr="33BB54C0">
              <w:rPr>
                <w:rFonts w:ascii="Times New Roman" w:eastAsia="Calibri" w:hAnsi="Times New Roman" w:cs="Times New Roman"/>
                <w:color w:val="000000" w:themeColor="text1"/>
                <w:vertAlign w:val="superscript"/>
              </w:rPr>
              <w:t>1</w:t>
            </w:r>
            <w:r w:rsidRPr="33BB54C0">
              <w:rPr>
                <w:rFonts w:ascii="Times New Roman" w:eastAsia="Calibri" w:hAnsi="Times New Roman" w:cs="Times New Roman"/>
                <w:color w:val="000000" w:themeColor="text1"/>
              </w:rPr>
              <w:t xml:space="preserve"> kontrollalal on kõrgem kui 0,</w:t>
            </w:r>
            <w:r w:rsidR="27C51BB6" w:rsidRPr="33BB54C0">
              <w:rPr>
                <w:rFonts w:ascii="Times New Roman" w:eastAsia="Calibri" w:hAnsi="Times New Roman" w:cs="Times New Roman"/>
                <w:color w:val="000000" w:themeColor="text1"/>
              </w:rPr>
              <w:t>8</w:t>
            </w:r>
            <w:r w:rsidRPr="33BB54C0">
              <w:rPr>
                <w:rFonts w:ascii="Times New Roman" w:eastAsia="Calibri" w:hAnsi="Times New Roman" w:cs="Times New Roman"/>
                <w:color w:val="000000" w:themeColor="text1"/>
              </w:rPr>
              <w:t>.</w:t>
            </w:r>
          </w:p>
        </w:tc>
        <w:tc>
          <w:tcPr>
            <w:tcW w:w="2895" w:type="dxa"/>
            <w:tcMar>
              <w:left w:w="105" w:type="dxa"/>
              <w:right w:w="105" w:type="dxa"/>
            </w:tcMar>
          </w:tcPr>
          <w:p w14:paraId="1D767C85" w14:textId="49E1220F" w:rsidR="2DE6A8AB" w:rsidRPr="00DA1967" w:rsidRDefault="3DCD80B1" w:rsidP="00DA1967">
            <w:pPr>
              <w:rPr>
                <w:rFonts w:ascii="Times New Roman" w:eastAsia="Calibri" w:hAnsi="Times New Roman" w:cs="Times New Roman"/>
                <w:color w:val="000000" w:themeColor="text1"/>
              </w:rPr>
            </w:pPr>
            <w:r w:rsidRPr="00DA1967">
              <w:rPr>
                <w:rFonts w:ascii="Times New Roman" w:eastAsia="Calibri" w:hAnsi="Times New Roman" w:cs="Times New Roman"/>
                <w:color w:val="000000" w:themeColor="text1"/>
              </w:rPr>
              <w:t>Mudeli koodi eest omistatakse </w:t>
            </w:r>
            <w:r w:rsidR="7F89113D" w:rsidRPr="00DA1967">
              <w:rPr>
                <w:rFonts w:ascii="Times New Roman" w:eastAsia="Calibri" w:hAnsi="Times New Roman" w:cs="Times New Roman"/>
                <w:b/>
                <w:bCs/>
                <w:color w:val="000000" w:themeColor="text1"/>
              </w:rPr>
              <w:t>10</w:t>
            </w:r>
            <w:r w:rsidRPr="00DA1967">
              <w:rPr>
                <w:rFonts w:ascii="Times New Roman" w:eastAsia="Calibri" w:hAnsi="Times New Roman" w:cs="Times New Roman"/>
                <w:b/>
                <w:bCs/>
                <w:color w:val="000000" w:themeColor="text1"/>
              </w:rPr>
              <w:t> </w:t>
            </w:r>
            <w:r w:rsidRPr="00DA1967">
              <w:rPr>
                <w:rFonts w:ascii="Times New Roman" w:eastAsia="Calibri" w:hAnsi="Times New Roman" w:cs="Times New Roman"/>
                <w:color w:val="000000" w:themeColor="text1"/>
              </w:rPr>
              <w:t xml:space="preserve">punkti, kui kood </w:t>
            </w:r>
            <w:r w:rsidR="5E163B63" w:rsidRPr="00DA1967">
              <w:rPr>
                <w:rFonts w:ascii="Times New Roman" w:eastAsia="Calibri" w:hAnsi="Times New Roman" w:cs="Times New Roman"/>
                <w:color w:val="000000" w:themeColor="text1"/>
              </w:rPr>
              <w:t>toimib, on</w:t>
            </w:r>
            <w:r w:rsidR="646869C7" w:rsidRPr="00DA1967">
              <w:rPr>
                <w:rFonts w:ascii="Times New Roman" w:eastAsia="Calibri" w:hAnsi="Times New Roman" w:cs="Times New Roman"/>
                <w:color w:val="000000" w:themeColor="text1"/>
              </w:rPr>
              <w:t xml:space="preserve"> </w:t>
            </w:r>
            <w:proofErr w:type="spellStart"/>
            <w:r w:rsidR="646869C7" w:rsidRPr="00DA1967">
              <w:rPr>
                <w:rFonts w:ascii="Times New Roman" w:eastAsia="Calibri" w:hAnsi="Times New Roman" w:cs="Times New Roman"/>
                <w:color w:val="000000" w:themeColor="text1"/>
              </w:rPr>
              <w:t>Pythoni</w:t>
            </w:r>
            <w:proofErr w:type="spellEnd"/>
            <w:r w:rsidR="646869C7" w:rsidRPr="00DA1967">
              <w:rPr>
                <w:rFonts w:ascii="Times New Roman" w:eastAsia="Calibri" w:hAnsi="Times New Roman" w:cs="Times New Roman"/>
                <w:color w:val="000000" w:themeColor="text1"/>
              </w:rPr>
              <w:t xml:space="preserve"> keeles</w:t>
            </w:r>
            <w:r w:rsidR="5E163B63" w:rsidRPr="00DA1967">
              <w:rPr>
                <w:rFonts w:ascii="Times New Roman" w:eastAsia="Calibri" w:hAnsi="Times New Roman" w:cs="Times New Roman"/>
                <w:color w:val="000000" w:themeColor="text1"/>
              </w:rPr>
              <w:t xml:space="preserve"> loogiliselt üles ehitatud </w:t>
            </w:r>
            <w:r w:rsidRPr="00DA1967">
              <w:rPr>
                <w:rFonts w:ascii="Times New Roman" w:eastAsia="Calibri" w:hAnsi="Times New Roman" w:cs="Times New Roman"/>
                <w:color w:val="000000" w:themeColor="text1"/>
              </w:rPr>
              <w:t>ning on kommenteeritud selliselt, et hankijal ei teki küsimusi.</w:t>
            </w:r>
          </w:p>
        </w:tc>
        <w:tc>
          <w:tcPr>
            <w:tcW w:w="3015" w:type="dxa"/>
            <w:tcMar>
              <w:left w:w="105" w:type="dxa"/>
              <w:right w:w="105" w:type="dxa"/>
            </w:tcMar>
          </w:tcPr>
          <w:p w14:paraId="24BFAC34" w14:textId="29D34C6D" w:rsidR="2DE6A8AB" w:rsidRPr="00DA1967" w:rsidRDefault="41C7D5AE" w:rsidP="00DA1967">
            <w:pPr>
              <w:rPr>
                <w:rFonts w:ascii="Times New Roman" w:eastAsia="Calibri" w:hAnsi="Times New Roman" w:cs="Times New Roman"/>
                <w:color w:val="000000" w:themeColor="text1"/>
              </w:rPr>
            </w:pPr>
            <w:r w:rsidRPr="00DA1967">
              <w:rPr>
                <w:rFonts w:ascii="Times New Roman" w:eastAsia="Calibri" w:hAnsi="Times New Roman" w:cs="Times New Roman"/>
                <w:color w:val="000000" w:themeColor="text1"/>
              </w:rPr>
              <w:t>Proovitöö kirjelduse eest omistatakse </w:t>
            </w:r>
            <w:r w:rsidR="3717F0B7" w:rsidRPr="00DA1967">
              <w:rPr>
                <w:rFonts w:ascii="Times New Roman" w:eastAsia="Calibri" w:hAnsi="Times New Roman" w:cs="Times New Roman"/>
                <w:b/>
                <w:bCs/>
                <w:color w:val="000000" w:themeColor="text1"/>
              </w:rPr>
              <w:t>10</w:t>
            </w:r>
            <w:r w:rsidRPr="00DA1967">
              <w:rPr>
                <w:rFonts w:ascii="Times New Roman" w:eastAsia="Calibri" w:hAnsi="Times New Roman" w:cs="Times New Roman"/>
                <w:color w:val="000000" w:themeColor="text1"/>
              </w:rPr>
              <w:t> punkti, kui kirjeldus sisaldab kõiki väljundi kirjelduses nimetatud osi ning on arusaadav ja piisavalt põhjendatud, st hankijal ei teki täpsustavaid küsimusi.</w:t>
            </w:r>
          </w:p>
        </w:tc>
      </w:tr>
      <w:tr w:rsidR="2DE6A8AB" w:rsidRPr="00DA1967" w14:paraId="78B4501A" w14:textId="77777777" w:rsidTr="2F95CF60">
        <w:trPr>
          <w:trHeight w:val="300"/>
        </w:trPr>
        <w:tc>
          <w:tcPr>
            <w:tcW w:w="3075" w:type="dxa"/>
            <w:tcMar>
              <w:left w:w="105" w:type="dxa"/>
              <w:right w:w="105" w:type="dxa"/>
            </w:tcMar>
          </w:tcPr>
          <w:p w14:paraId="7A41966C" w14:textId="6DCE1145" w:rsidR="2DE6A8AB" w:rsidRPr="00DA1967" w:rsidRDefault="41C7D5AE" w:rsidP="00DA1967">
            <w:pPr>
              <w:rPr>
                <w:rFonts w:ascii="Times New Roman" w:eastAsia="Calibri" w:hAnsi="Times New Roman" w:cs="Times New Roman"/>
                <w:color w:val="000000" w:themeColor="text1"/>
              </w:rPr>
            </w:pPr>
            <w:r w:rsidRPr="33BB54C0">
              <w:rPr>
                <w:rFonts w:ascii="Times New Roman" w:eastAsia="Calibri" w:hAnsi="Times New Roman" w:cs="Times New Roman"/>
                <w:color w:val="000000" w:themeColor="text1"/>
              </w:rPr>
              <w:t>Mudeli eest omistatakse </w:t>
            </w:r>
            <w:r w:rsidR="4B6943FA" w:rsidRPr="33BB54C0">
              <w:rPr>
                <w:rFonts w:ascii="Times New Roman" w:eastAsia="Calibri" w:hAnsi="Times New Roman" w:cs="Times New Roman"/>
                <w:b/>
                <w:bCs/>
                <w:color w:val="000000" w:themeColor="text1"/>
              </w:rPr>
              <w:t>10</w:t>
            </w:r>
            <w:r w:rsidRPr="33BB54C0">
              <w:rPr>
                <w:rFonts w:ascii="Times New Roman" w:eastAsia="Calibri" w:hAnsi="Times New Roman" w:cs="Times New Roman"/>
                <w:color w:val="000000" w:themeColor="text1"/>
              </w:rPr>
              <w:t xml:space="preserve"> punkti, kui mudel suudab kontrollalal akende </w:t>
            </w:r>
            <w:r w:rsidR="79B39E92" w:rsidRPr="33BB54C0">
              <w:rPr>
                <w:rFonts w:ascii="Times New Roman" w:eastAsia="Calibri" w:hAnsi="Times New Roman" w:cs="Times New Roman"/>
                <w:color w:val="000000" w:themeColor="text1"/>
              </w:rPr>
              <w:t>pind</w:t>
            </w:r>
            <w:r w:rsidRPr="33BB54C0">
              <w:rPr>
                <w:rFonts w:ascii="Times New Roman" w:eastAsia="Calibri" w:hAnsi="Times New Roman" w:cs="Times New Roman"/>
                <w:color w:val="000000" w:themeColor="text1"/>
              </w:rPr>
              <w:t>geomeetriat tuvastada ja mudeli F1-skoor</w:t>
            </w:r>
            <w:r w:rsidRPr="33BB54C0">
              <w:rPr>
                <w:rFonts w:ascii="Times New Roman" w:eastAsia="Calibri" w:hAnsi="Times New Roman" w:cs="Times New Roman"/>
                <w:color w:val="000000" w:themeColor="text1"/>
                <w:vertAlign w:val="superscript"/>
              </w:rPr>
              <w:t>2</w:t>
            </w:r>
            <w:r w:rsidRPr="33BB54C0">
              <w:rPr>
                <w:rFonts w:ascii="Times New Roman" w:eastAsia="Calibri" w:hAnsi="Times New Roman" w:cs="Times New Roman"/>
                <w:color w:val="000000" w:themeColor="text1"/>
              </w:rPr>
              <w:t xml:space="preserve"> kontrollalal on vahemikus </w:t>
            </w:r>
            <w:r w:rsidR="7D9C0B29" w:rsidRPr="33BB54C0">
              <w:rPr>
                <w:rFonts w:ascii="Times New Roman" w:eastAsia="Calibri" w:hAnsi="Times New Roman" w:cs="Times New Roman"/>
                <w:color w:val="000000" w:themeColor="text1"/>
              </w:rPr>
              <w:t>0,6-0,8</w:t>
            </w:r>
            <w:r w:rsidRPr="33BB54C0">
              <w:rPr>
                <w:rFonts w:ascii="Times New Roman" w:eastAsia="Calibri" w:hAnsi="Times New Roman" w:cs="Times New Roman"/>
                <w:color w:val="000000" w:themeColor="text1"/>
              </w:rPr>
              <w:t>.</w:t>
            </w:r>
          </w:p>
        </w:tc>
        <w:tc>
          <w:tcPr>
            <w:tcW w:w="2895" w:type="dxa"/>
            <w:tcMar>
              <w:left w:w="105" w:type="dxa"/>
              <w:right w:w="105" w:type="dxa"/>
            </w:tcMar>
          </w:tcPr>
          <w:p w14:paraId="4E9B02E3" w14:textId="27CC71F7" w:rsidR="2DE6A8AB" w:rsidRPr="00DA1967" w:rsidRDefault="3DCD80B1" w:rsidP="00DA1967">
            <w:pPr>
              <w:rPr>
                <w:rFonts w:ascii="Times New Roman" w:eastAsia="Calibri" w:hAnsi="Times New Roman" w:cs="Times New Roman"/>
                <w:color w:val="000000" w:themeColor="text1"/>
              </w:rPr>
            </w:pPr>
            <w:r w:rsidRPr="00DA1967">
              <w:rPr>
                <w:rFonts w:ascii="Times New Roman" w:eastAsia="Calibri" w:hAnsi="Times New Roman" w:cs="Times New Roman"/>
                <w:color w:val="000000" w:themeColor="text1"/>
              </w:rPr>
              <w:t>Mudeli koodi eest omistatakse</w:t>
            </w:r>
            <w:r w:rsidRPr="00DA1967">
              <w:rPr>
                <w:rFonts w:ascii="Times New Roman" w:eastAsia="Calibri" w:hAnsi="Times New Roman" w:cs="Times New Roman"/>
                <w:b/>
                <w:bCs/>
                <w:color w:val="000000" w:themeColor="text1"/>
              </w:rPr>
              <w:t> </w:t>
            </w:r>
            <w:r w:rsidR="118F0EE1" w:rsidRPr="00DA1967">
              <w:rPr>
                <w:rFonts w:ascii="Times New Roman" w:eastAsia="Calibri" w:hAnsi="Times New Roman" w:cs="Times New Roman"/>
                <w:b/>
                <w:bCs/>
                <w:color w:val="000000" w:themeColor="text1"/>
              </w:rPr>
              <w:t>7</w:t>
            </w:r>
            <w:r w:rsidRPr="00DA1967">
              <w:rPr>
                <w:rFonts w:ascii="Times New Roman" w:eastAsia="Calibri" w:hAnsi="Times New Roman" w:cs="Times New Roman"/>
                <w:color w:val="000000" w:themeColor="text1"/>
              </w:rPr>
              <w:t xml:space="preserve"> punkti, kui kood,</w:t>
            </w:r>
            <w:r w:rsidR="5B1E7323" w:rsidRPr="00DA1967">
              <w:rPr>
                <w:rFonts w:ascii="Times New Roman" w:eastAsia="Calibri" w:hAnsi="Times New Roman" w:cs="Times New Roman"/>
                <w:color w:val="000000" w:themeColor="text1"/>
              </w:rPr>
              <w:t xml:space="preserve"> toimib, on</w:t>
            </w:r>
            <w:r w:rsidRPr="00DA1967">
              <w:rPr>
                <w:rFonts w:ascii="Times New Roman" w:eastAsia="Calibri" w:hAnsi="Times New Roman" w:cs="Times New Roman"/>
                <w:color w:val="000000" w:themeColor="text1"/>
              </w:rPr>
              <w:t xml:space="preserve"> </w:t>
            </w:r>
            <w:proofErr w:type="spellStart"/>
            <w:r w:rsidRPr="00DA1967">
              <w:rPr>
                <w:rFonts w:ascii="Times New Roman" w:eastAsia="Calibri" w:hAnsi="Times New Roman" w:cs="Times New Roman"/>
                <w:color w:val="000000" w:themeColor="text1"/>
              </w:rPr>
              <w:t>Pythoni</w:t>
            </w:r>
            <w:proofErr w:type="spellEnd"/>
            <w:r w:rsidRPr="00DA1967">
              <w:rPr>
                <w:rFonts w:ascii="Times New Roman" w:eastAsia="Calibri" w:hAnsi="Times New Roman" w:cs="Times New Roman"/>
                <w:color w:val="000000" w:themeColor="text1"/>
              </w:rPr>
              <w:t xml:space="preserve"> keeles ja kommenteeritud selliselt, et hankijal tekib 1-2 küsimust.</w:t>
            </w:r>
          </w:p>
        </w:tc>
        <w:tc>
          <w:tcPr>
            <w:tcW w:w="3015" w:type="dxa"/>
            <w:tcMar>
              <w:left w:w="105" w:type="dxa"/>
              <w:right w:w="105" w:type="dxa"/>
            </w:tcMar>
          </w:tcPr>
          <w:p w14:paraId="29226A12" w14:textId="4F73B39E" w:rsidR="2DE6A8AB" w:rsidRPr="00DA1967" w:rsidRDefault="41C7D5AE" w:rsidP="00DA1967">
            <w:pPr>
              <w:spacing w:line="259" w:lineRule="auto"/>
              <w:rPr>
                <w:rFonts w:ascii="Times New Roman" w:eastAsia="Calibri" w:hAnsi="Times New Roman" w:cs="Times New Roman"/>
                <w:color w:val="000000" w:themeColor="text1"/>
              </w:rPr>
            </w:pPr>
            <w:r w:rsidRPr="00DA1967">
              <w:rPr>
                <w:rFonts w:ascii="Times New Roman" w:eastAsia="Calibri" w:hAnsi="Times New Roman" w:cs="Times New Roman"/>
                <w:color w:val="000000" w:themeColor="text1"/>
              </w:rPr>
              <w:t>Proovitöö kirjelduse eest omistatakse </w:t>
            </w:r>
            <w:r w:rsidR="1E01AC22" w:rsidRPr="00DA1967">
              <w:rPr>
                <w:rFonts w:ascii="Times New Roman" w:eastAsia="Calibri" w:hAnsi="Times New Roman" w:cs="Times New Roman"/>
                <w:b/>
                <w:bCs/>
                <w:color w:val="000000" w:themeColor="text1"/>
              </w:rPr>
              <w:t>7</w:t>
            </w:r>
            <w:r w:rsidRPr="00DA1967">
              <w:rPr>
                <w:rFonts w:ascii="Times New Roman" w:eastAsia="Calibri" w:hAnsi="Times New Roman" w:cs="Times New Roman"/>
                <w:b/>
                <w:bCs/>
                <w:color w:val="000000" w:themeColor="text1"/>
              </w:rPr>
              <w:t> </w:t>
            </w:r>
            <w:r w:rsidRPr="00DA1967">
              <w:rPr>
                <w:rFonts w:ascii="Times New Roman" w:eastAsia="Calibri" w:hAnsi="Times New Roman" w:cs="Times New Roman"/>
                <w:color w:val="000000" w:themeColor="text1"/>
              </w:rPr>
              <w:t>punkti, kui kirjeldus sisaldab kõiki väljundi kirjelduses nimetatud osi, kuid pole piisavalt põhjendatud või on kohati ebaselge, st hankijal tekib 1-2 küsimust.</w:t>
            </w:r>
          </w:p>
        </w:tc>
      </w:tr>
      <w:tr w:rsidR="2DE6A8AB" w:rsidRPr="00DA1967" w14:paraId="4B2CF78C" w14:textId="77777777" w:rsidTr="2F95CF60">
        <w:trPr>
          <w:trHeight w:val="300"/>
        </w:trPr>
        <w:tc>
          <w:tcPr>
            <w:tcW w:w="3075" w:type="dxa"/>
            <w:tcMar>
              <w:left w:w="105" w:type="dxa"/>
              <w:right w:w="105" w:type="dxa"/>
            </w:tcMar>
          </w:tcPr>
          <w:p w14:paraId="24AD1378" w14:textId="15798060" w:rsidR="2DE6A8AB" w:rsidRPr="00DA1967" w:rsidRDefault="41C7D5AE" w:rsidP="00DA1967">
            <w:pPr>
              <w:rPr>
                <w:rFonts w:ascii="Times New Roman" w:eastAsia="Calibri" w:hAnsi="Times New Roman" w:cs="Times New Roman"/>
                <w:color w:val="000000" w:themeColor="text1"/>
              </w:rPr>
            </w:pPr>
            <w:r w:rsidRPr="33BB54C0">
              <w:rPr>
                <w:rFonts w:ascii="Times New Roman" w:eastAsia="Calibri" w:hAnsi="Times New Roman" w:cs="Times New Roman"/>
                <w:color w:val="000000" w:themeColor="text1"/>
              </w:rPr>
              <w:t>Mudeli eest omistatakse </w:t>
            </w:r>
            <w:r w:rsidR="249AED3F" w:rsidRPr="33BB54C0">
              <w:rPr>
                <w:rFonts w:ascii="Times New Roman" w:eastAsia="Calibri" w:hAnsi="Times New Roman" w:cs="Times New Roman"/>
                <w:b/>
                <w:bCs/>
                <w:color w:val="000000" w:themeColor="text1"/>
              </w:rPr>
              <w:t>5</w:t>
            </w:r>
            <w:r w:rsidRPr="33BB54C0">
              <w:rPr>
                <w:rFonts w:ascii="Times New Roman" w:eastAsia="Calibri" w:hAnsi="Times New Roman" w:cs="Times New Roman"/>
                <w:color w:val="000000" w:themeColor="text1"/>
              </w:rPr>
              <w:t> punkt</w:t>
            </w:r>
            <w:r w:rsidR="7F18DA41" w:rsidRPr="33BB54C0">
              <w:rPr>
                <w:rFonts w:ascii="Times New Roman" w:eastAsia="Calibri" w:hAnsi="Times New Roman" w:cs="Times New Roman"/>
                <w:color w:val="000000" w:themeColor="text1"/>
              </w:rPr>
              <w:t>i</w:t>
            </w:r>
            <w:r w:rsidRPr="33BB54C0">
              <w:rPr>
                <w:rFonts w:ascii="Times New Roman" w:eastAsia="Calibri" w:hAnsi="Times New Roman" w:cs="Times New Roman"/>
                <w:color w:val="000000" w:themeColor="text1"/>
              </w:rPr>
              <w:t xml:space="preserve">, kui mudel suudab kontrollalal akende </w:t>
            </w:r>
            <w:r w:rsidR="477400FA" w:rsidRPr="33BB54C0">
              <w:rPr>
                <w:rFonts w:ascii="Times New Roman" w:eastAsia="Calibri" w:hAnsi="Times New Roman" w:cs="Times New Roman"/>
                <w:color w:val="000000" w:themeColor="text1"/>
              </w:rPr>
              <w:t>pind</w:t>
            </w:r>
            <w:r w:rsidRPr="33BB54C0">
              <w:rPr>
                <w:rFonts w:ascii="Times New Roman" w:eastAsia="Calibri" w:hAnsi="Times New Roman" w:cs="Times New Roman"/>
                <w:color w:val="000000" w:themeColor="text1"/>
              </w:rPr>
              <w:t xml:space="preserve">geomeetriat tuvastada ja </w:t>
            </w:r>
            <w:r w:rsidRPr="33BB54C0">
              <w:rPr>
                <w:rFonts w:ascii="Times New Roman" w:eastAsia="Calibri" w:hAnsi="Times New Roman" w:cs="Times New Roman"/>
                <w:color w:val="000000" w:themeColor="text1"/>
              </w:rPr>
              <w:lastRenderedPageBreak/>
              <w:t>mudeli tulemuste F1-skoor</w:t>
            </w:r>
            <w:r w:rsidRPr="33BB54C0">
              <w:rPr>
                <w:rFonts w:ascii="Times New Roman" w:eastAsia="Calibri" w:hAnsi="Times New Roman" w:cs="Times New Roman"/>
                <w:color w:val="000000" w:themeColor="text1"/>
                <w:vertAlign w:val="superscript"/>
              </w:rPr>
              <w:t>3</w:t>
            </w:r>
            <w:r w:rsidRPr="33BB54C0">
              <w:rPr>
                <w:rFonts w:ascii="Times New Roman" w:eastAsia="Calibri" w:hAnsi="Times New Roman" w:cs="Times New Roman"/>
                <w:color w:val="000000" w:themeColor="text1"/>
              </w:rPr>
              <w:t xml:space="preserve"> kontrollalal on vahemikus </w:t>
            </w:r>
            <w:r w:rsidR="0F077BA6" w:rsidRPr="33BB54C0">
              <w:rPr>
                <w:rFonts w:ascii="Times New Roman" w:eastAsia="Calibri" w:hAnsi="Times New Roman" w:cs="Times New Roman"/>
                <w:color w:val="000000" w:themeColor="text1"/>
              </w:rPr>
              <w:t>0,4-0,6</w:t>
            </w:r>
            <w:r w:rsidR="36F7D98D" w:rsidRPr="33BB54C0">
              <w:rPr>
                <w:rFonts w:ascii="Times New Roman" w:eastAsia="Calibri" w:hAnsi="Times New Roman" w:cs="Times New Roman"/>
                <w:color w:val="000000" w:themeColor="text1"/>
              </w:rPr>
              <w:t>.</w:t>
            </w:r>
          </w:p>
        </w:tc>
        <w:tc>
          <w:tcPr>
            <w:tcW w:w="2895" w:type="dxa"/>
            <w:tcMar>
              <w:left w:w="105" w:type="dxa"/>
              <w:right w:w="105" w:type="dxa"/>
            </w:tcMar>
          </w:tcPr>
          <w:p w14:paraId="4C5AFE7A" w14:textId="5D70ED17" w:rsidR="2DE6A8AB" w:rsidRPr="00DA1967" w:rsidRDefault="1E24C6BC" w:rsidP="00DA1967">
            <w:pPr>
              <w:rPr>
                <w:rFonts w:ascii="Times New Roman" w:eastAsia="Calibri" w:hAnsi="Times New Roman" w:cs="Times New Roman"/>
                <w:color w:val="000000" w:themeColor="text1"/>
              </w:rPr>
            </w:pPr>
            <w:r w:rsidRPr="00DA1967">
              <w:rPr>
                <w:rFonts w:ascii="Times New Roman" w:eastAsia="Calibri" w:hAnsi="Times New Roman" w:cs="Times New Roman"/>
                <w:color w:val="000000" w:themeColor="text1"/>
              </w:rPr>
              <w:lastRenderedPageBreak/>
              <w:t>Mudeli koodi eest omistatakse </w:t>
            </w:r>
            <w:r w:rsidRPr="00DA1967">
              <w:rPr>
                <w:rFonts w:ascii="Times New Roman" w:eastAsia="Calibri" w:hAnsi="Times New Roman" w:cs="Times New Roman"/>
                <w:b/>
                <w:bCs/>
                <w:color w:val="000000" w:themeColor="text1"/>
              </w:rPr>
              <w:t>3</w:t>
            </w:r>
            <w:r w:rsidRPr="00DA1967">
              <w:rPr>
                <w:rFonts w:ascii="Times New Roman" w:eastAsia="Calibri" w:hAnsi="Times New Roman" w:cs="Times New Roman"/>
                <w:color w:val="000000" w:themeColor="text1"/>
              </w:rPr>
              <w:t xml:space="preserve"> punkti, kui kood, toimib, on </w:t>
            </w:r>
            <w:proofErr w:type="spellStart"/>
            <w:r w:rsidRPr="00DA1967">
              <w:rPr>
                <w:rFonts w:ascii="Times New Roman" w:eastAsia="Calibri" w:hAnsi="Times New Roman" w:cs="Times New Roman"/>
                <w:color w:val="000000" w:themeColor="text1"/>
              </w:rPr>
              <w:t>Pythoni</w:t>
            </w:r>
            <w:proofErr w:type="spellEnd"/>
            <w:r w:rsidRPr="00DA1967">
              <w:rPr>
                <w:rFonts w:ascii="Times New Roman" w:eastAsia="Calibri" w:hAnsi="Times New Roman" w:cs="Times New Roman"/>
                <w:color w:val="000000" w:themeColor="text1"/>
              </w:rPr>
              <w:t xml:space="preserve"> keeles ja kommenteeritud </w:t>
            </w:r>
            <w:r w:rsidRPr="00DA1967">
              <w:rPr>
                <w:rFonts w:ascii="Times New Roman" w:eastAsia="Calibri" w:hAnsi="Times New Roman" w:cs="Times New Roman"/>
                <w:color w:val="000000" w:themeColor="text1"/>
              </w:rPr>
              <w:lastRenderedPageBreak/>
              <w:t xml:space="preserve">ebaselgelt, st hankijal tekib rohkem kui 2 küsimust. </w:t>
            </w:r>
          </w:p>
          <w:p w14:paraId="5E5016D4" w14:textId="34E3C662" w:rsidR="2DE6A8AB" w:rsidRPr="00DA1967" w:rsidRDefault="2DE6A8AB" w:rsidP="00DA1967">
            <w:pPr>
              <w:rPr>
                <w:rFonts w:ascii="Times New Roman" w:eastAsia="Calibri" w:hAnsi="Times New Roman" w:cs="Times New Roman"/>
              </w:rPr>
            </w:pPr>
          </w:p>
        </w:tc>
        <w:tc>
          <w:tcPr>
            <w:tcW w:w="3015" w:type="dxa"/>
            <w:tcMar>
              <w:left w:w="105" w:type="dxa"/>
              <w:right w:w="105" w:type="dxa"/>
            </w:tcMar>
          </w:tcPr>
          <w:p w14:paraId="2C818B1D" w14:textId="55B7E0EB" w:rsidR="2DE6A8AB" w:rsidRPr="00DA1967" w:rsidRDefault="41C7D5AE" w:rsidP="00DA1967">
            <w:pPr>
              <w:rPr>
                <w:rFonts w:ascii="Times New Roman" w:eastAsia="Calibri" w:hAnsi="Times New Roman" w:cs="Times New Roman"/>
                <w:color w:val="000000" w:themeColor="text1"/>
              </w:rPr>
            </w:pPr>
            <w:r w:rsidRPr="00DA1967">
              <w:rPr>
                <w:rFonts w:ascii="Times New Roman" w:eastAsia="Calibri" w:hAnsi="Times New Roman" w:cs="Times New Roman"/>
                <w:color w:val="000000" w:themeColor="text1"/>
              </w:rPr>
              <w:lastRenderedPageBreak/>
              <w:t>Proovitöö kirjelduse eest omistatakse</w:t>
            </w:r>
            <w:r w:rsidRPr="00DA1967">
              <w:rPr>
                <w:rFonts w:ascii="Times New Roman" w:eastAsia="Calibri" w:hAnsi="Times New Roman" w:cs="Times New Roman"/>
                <w:b/>
                <w:bCs/>
                <w:color w:val="000000" w:themeColor="text1"/>
              </w:rPr>
              <w:t> </w:t>
            </w:r>
            <w:r w:rsidR="0A9A0A0B" w:rsidRPr="00DA1967">
              <w:rPr>
                <w:rFonts w:ascii="Times New Roman" w:eastAsia="Calibri" w:hAnsi="Times New Roman" w:cs="Times New Roman"/>
                <w:b/>
                <w:bCs/>
                <w:color w:val="000000" w:themeColor="text1"/>
              </w:rPr>
              <w:t>3</w:t>
            </w:r>
            <w:r w:rsidRPr="00DA1967">
              <w:rPr>
                <w:rFonts w:ascii="Times New Roman" w:eastAsia="Calibri" w:hAnsi="Times New Roman" w:cs="Times New Roman"/>
                <w:color w:val="000000" w:themeColor="text1"/>
              </w:rPr>
              <w:t> punkt</w:t>
            </w:r>
            <w:r w:rsidR="5CADC38F" w:rsidRPr="00DA1967">
              <w:rPr>
                <w:rFonts w:ascii="Times New Roman" w:eastAsia="Calibri" w:hAnsi="Times New Roman" w:cs="Times New Roman"/>
                <w:color w:val="000000" w:themeColor="text1"/>
              </w:rPr>
              <w:t>i</w:t>
            </w:r>
            <w:r w:rsidRPr="00DA1967">
              <w:rPr>
                <w:rFonts w:ascii="Times New Roman" w:eastAsia="Calibri" w:hAnsi="Times New Roman" w:cs="Times New Roman"/>
                <w:color w:val="000000" w:themeColor="text1"/>
              </w:rPr>
              <w:t xml:space="preserve">, kui kirjeldus sisaldab kõiki väljundi kirjelduses nimetatud </w:t>
            </w:r>
            <w:r w:rsidRPr="00DA1967">
              <w:rPr>
                <w:rFonts w:ascii="Times New Roman" w:eastAsia="Calibri" w:hAnsi="Times New Roman" w:cs="Times New Roman"/>
                <w:color w:val="000000" w:themeColor="text1"/>
              </w:rPr>
              <w:lastRenderedPageBreak/>
              <w:t>osi, kuid on napp või segane, st hankijal tekib enam kui 2 küsimust.</w:t>
            </w:r>
          </w:p>
        </w:tc>
      </w:tr>
      <w:tr w:rsidR="2DE6A8AB" w:rsidRPr="00DA1967" w14:paraId="01F58865" w14:textId="77777777" w:rsidTr="2F95CF60">
        <w:trPr>
          <w:trHeight w:val="300"/>
        </w:trPr>
        <w:tc>
          <w:tcPr>
            <w:tcW w:w="3075" w:type="dxa"/>
            <w:tcMar>
              <w:left w:w="105" w:type="dxa"/>
              <w:right w:w="105" w:type="dxa"/>
            </w:tcMar>
          </w:tcPr>
          <w:p w14:paraId="5BB94FA2" w14:textId="713EA389" w:rsidR="2DE6A8AB" w:rsidRPr="00DA1967" w:rsidRDefault="41C7D5AE" w:rsidP="00DA1967">
            <w:pPr>
              <w:rPr>
                <w:rFonts w:ascii="Times New Roman" w:eastAsia="Calibri" w:hAnsi="Times New Roman" w:cs="Times New Roman"/>
                <w:color w:val="000000" w:themeColor="text1"/>
              </w:rPr>
            </w:pPr>
            <w:r w:rsidRPr="33BB54C0">
              <w:rPr>
                <w:rFonts w:ascii="Times New Roman" w:eastAsia="Calibri" w:hAnsi="Times New Roman" w:cs="Times New Roman"/>
                <w:color w:val="000000" w:themeColor="text1"/>
              </w:rPr>
              <w:lastRenderedPageBreak/>
              <w:t>Mudel, mille F1</w:t>
            </w:r>
            <w:r w:rsidR="232EDEF7" w:rsidRPr="33BB54C0">
              <w:rPr>
                <w:rFonts w:ascii="Times New Roman" w:eastAsia="Calibri" w:hAnsi="Times New Roman" w:cs="Times New Roman"/>
                <w:color w:val="000000" w:themeColor="text1"/>
              </w:rPr>
              <w:t>-</w:t>
            </w:r>
            <w:r w:rsidRPr="33BB54C0">
              <w:rPr>
                <w:rFonts w:ascii="Times New Roman" w:eastAsia="Calibri" w:hAnsi="Times New Roman" w:cs="Times New Roman"/>
                <w:color w:val="000000" w:themeColor="text1"/>
              </w:rPr>
              <w:t>skoor on alla 0,</w:t>
            </w:r>
            <w:r w:rsidR="45696223" w:rsidRPr="33BB54C0">
              <w:rPr>
                <w:rFonts w:ascii="Times New Roman" w:eastAsia="Calibri" w:hAnsi="Times New Roman" w:cs="Times New Roman"/>
                <w:color w:val="000000" w:themeColor="text1"/>
              </w:rPr>
              <w:t>4</w:t>
            </w:r>
            <w:r w:rsidRPr="33BB54C0">
              <w:rPr>
                <w:rFonts w:ascii="Times New Roman" w:eastAsia="Calibri" w:hAnsi="Times New Roman" w:cs="Times New Roman"/>
                <w:color w:val="000000" w:themeColor="text1"/>
              </w:rPr>
              <w:t xml:space="preserve"> </w:t>
            </w:r>
            <w:r w:rsidR="52445DDE" w:rsidRPr="33BB54C0">
              <w:rPr>
                <w:rFonts w:ascii="Times New Roman" w:eastAsia="Calibri" w:hAnsi="Times New Roman" w:cs="Times New Roman"/>
                <w:color w:val="000000" w:themeColor="text1"/>
              </w:rPr>
              <w:t xml:space="preserve">VÕI mis suudab tuvastada aknaid üksnes punktgeomeetriana, </w:t>
            </w:r>
            <w:r w:rsidRPr="33BB54C0">
              <w:rPr>
                <w:rFonts w:ascii="Times New Roman" w:eastAsia="Calibri" w:hAnsi="Times New Roman" w:cs="Times New Roman"/>
                <w:color w:val="000000" w:themeColor="text1"/>
              </w:rPr>
              <w:t>loetakse ebaõnnestunuks  ning sellise mudeli eest omistatakse</w:t>
            </w:r>
            <w:r w:rsidRPr="33BB54C0">
              <w:rPr>
                <w:rFonts w:ascii="Times New Roman" w:eastAsia="Calibri" w:hAnsi="Times New Roman" w:cs="Times New Roman"/>
                <w:b/>
                <w:bCs/>
                <w:color w:val="000000" w:themeColor="text1"/>
              </w:rPr>
              <w:t xml:space="preserve"> 0 </w:t>
            </w:r>
            <w:r w:rsidRPr="33BB54C0">
              <w:rPr>
                <w:rFonts w:ascii="Times New Roman" w:eastAsia="Calibri" w:hAnsi="Times New Roman" w:cs="Times New Roman"/>
                <w:color w:val="000000" w:themeColor="text1"/>
              </w:rPr>
              <w:t>punkti.</w:t>
            </w:r>
          </w:p>
        </w:tc>
        <w:tc>
          <w:tcPr>
            <w:tcW w:w="2895" w:type="dxa"/>
            <w:tcMar>
              <w:left w:w="105" w:type="dxa"/>
              <w:right w:w="105" w:type="dxa"/>
            </w:tcMar>
          </w:tcPr>
          <w:p w14:paraId="5EF867BB" w14:textId="17AFCAEA" w:rsidR="2DE6A8AB" w:rsidRPr="00DA1967" w:rsidRDefault="4A0FE9A6" w:rsidP="00DA1967">
            <w:pPr>
              <w:rPr>
                <w:rFonts w:ascii="Times New Roman" w:eastAsia="Calibri" w:hAnsi="Times New Roman" w:cs="Times New Roman"/>
                <w:color w:val="000000" w:themeColor="text1"/>
              </w:rPr>
            </w:pPr>
            <w:r w:rsidRPr="00DA1967">
              <w:rPr>
                <w:rFonts w:ascii="Times New Roman" w:eastAsia="Calibri" w:hAnsi="Times New Roman" w:cs="Times New Roman"/>
                <w:color w:val="000000" w:themeColor="text1"/>
              </w:rPr>
              <w:t>Mudeli koodi eest omistatakse</w:t>
            </w:r>
            <w:r w:rsidRPr="00DA1967">
              <w:rPr>
                <w:rFonts w:ascii="Times New Roman" w:eastAsia="Calibri" w:hAnsi="Times New Roman" w:cs="Times New Roman"/>
                <w:b/>
                <w:bCs/>
                <w:color w:val="000000" w:themeColor="text1"/>
              </w:rPr>
              <w:t> 0</w:t>
            </w:r>
            <w:r w:rsidRPr="00DA1967">
              <w:rPr>
                <w:rFonts w:ascii="Times New Roman" w:eastAsia="Calibri" w:hAnsi="Times New Roman" w:cs="Times New Roman"/>
                <w:color w:val="000000" w:themeColor="text1"/>
              </w:rPr>
              <w:t xml:space="preserve"> punkti, kui kood ei </w:t>
            </w:r>
            <w:r w:rsidR="1E389AFA" w:rsidRPr="00DA1967">
              <w:rPr>
                <w:rFonts w:ascii="Times New Roman" w:eastAsia="Calibri" w:hAnsi="Times New Roman" w:cs="Times New Roman"/>
                <w:color w:val="000000" w:themeColor="text1"/>
              </w:rPr>
              <w:t>toimi</w:t>
            </w:r>
            <w:r w:rsidRPr="00DA1967">
              <w:rPr>
                <w:rFonts w:ascii="Times New Roman" w:eastAsia="Calibri" w:hAnsi="Times New Roman" w:cs="Times New Roman"/>
                <w:color w:val="000000" w:themeColor="text1"/>
              </w:rPr>
              <w:t xml:space="preserve"> VÕI kui kood ei ole </w:t>
            </w:r>
            <w:proofErr w:type="spellStart"/>
            <w:r w:rsidRPr="00DA1967">
              <w:rPr>
                <w:rFonts w:ascii="Times New Roman" w:eastAsia="Calibri" w:hAnsi="Times New Roman" w:cs="Times New Roman"/>
                <w:color w:val="000000" w:themeColor="text1"/>
              </w:rPr>
              <w:t>Pythoni</w:t>
            </w:r>
            <w:proofErr w:type="spellEnd"/>
            <w:r w:rsidRPr="00DA1967">
              <w:rPr>
                <w:rFonts w:ascii="Times New Roman" w:eastAsia="Calibri" w:hAnsi="Times New Roman" w:cs="Times New Roman"/>
                <w:color w:val="000000" w:themeColor="text1"/>
              </w:rPr>
              <w:t xml:space="preserve"> keeles.</w:t>
            </w:r>
          </w:p>
        </w:tc>
        <w:tc>
          <w:tcPr>
            <w:tcW w:w="3015" w:type="dxa"/>
            <w:tcMar>
              <w:left w:w="105" w:type="dxa"/>
              <w:right w:w="105" w:type="dxa"/>
            </w:tcMar>
          </w:tcPr>
          <w:p w14:paraId="69BF44FA" w14:textId="4CCDFA65" w:rsidR="2DE6A8AB" w:rsidRPr="00DA1967" w:rsidRDefault="41C7D5AE" w:rsidP="00DA1967">
            <w:pPr>
              <w:rPr>
                <w:rFonts w:ascii="Times New Roman" w:eastAsia="Calibri" w:hAnsi="Times New Roman" w:cs="Times New Roman"/>
                <w:color w:val="000000" w:themeColor="text1"/>
              </w:rPr>
            </w:pPr>
            <w:r w:rsidRPr="00DA1967">
              <w:rPr>
                <w:rFonts w:ascii="Times New Roman" w:eastAsia="Calibri" w:hAnsi="Times New Roman" w:cs="Times New Roman"/>
                <w:color w:val="000000" w:themeColor="text1"/>
              </w:rPr>
              <w:t>Proovitöö kirjelduse eest omistatakse </w:t>
            </w:r>
            <w:r w:rsidRPr="00DA1967">
              <w:rPr>
                <w:rFonts w:ascii="Times New Roman" w:eastAsia="Calibri" w:hAnsi="Times New Roman" w:cs="Times New Roman"/>
                <w:b/>
                <w:bCs/>
                <w:color w:val="000000" w:themeColor="text1"/>
              </w:rPr>
              <w:t>0 </w:t>
            </w:r>
            <w:r w:rsidRPr="00DA1967">
              <w:rPr>
                <w:rFonts w:ascii="Times New Roman" w:eastAsia="Calibri" w:hAnsi="Times New Roman" w:cs="Times New Roman"/>
                <w:color w:val="000000" w:themeColor="text1"/>
              </w:rPr>
              <w:t>punkti, kui mõni väljundi kirjelduses nimetatud osa on puudu.</w:t>
            </w:r>
          </w:p>
        </w:tc>
      </w:tr>
    </w:tbl>
    <w:p w14:paraId="4096DD25" w14:textId="77777777" w:rsidR="0046355D" w:rsidRPr="00B11C1B" w:rsidRDefault="0046355D" w:rsidP="00B11C1B">
      <w:pPr>
        <w:jc w:val="both"/>
        <w:rPr>
          <w:rFonts w:ascii="Times New Roman" w:hAnsi="Times New Roman" w:cs="Times New Roman"/>
        </w:rPr>
      </w:pPr>
    </w:p>
    <w:p w14:paraId="5BCE06BF" w14:textId="163AB6DC" w:rsidR="3204D9D1" w:rsidRDefault="3204D9D1" w:rsidP="0067754F">
      <w:pPr>
        <w:pStyle w:val="ListParagraph"/>
        <w:numPr>
          <w:ilvl w:val="0"/>
          <w:numId w:val="1"/>
        </w:numPr>
        <w:jc w:val="both"/>
        <w:rPr>
          <w:rFonts w:ascii="Times New Roman" w:hAnsi="Times New Roman" w:cs="Times New Roman"/>
        </w:rPr>
      </w:pPr>
      <w:r w:rsidRPr="2F95CF60">
        <w:rPr>
          <w:rFonts w:ascii="Times New Roman" w:hAnsi="Times New Roman" w:cs="Times New Roman"/>
        </w:rPr>
        <w:t xml:space="preserve">Mudelite edukust akende pindgeomeetria tuvastamisel hinnatakse F-skoori alusel. F-skoorid arvutatakse pikslipõhiselt. Täpsuse hindamine toimub </w:t>
      </w:r>
      <w:proofErr w:type="spellStart"/>
      <w:r w:rsidRPr="2F95CF60">
        <w:rPr>
          <w:rFonts w:ascii="Times New Roman" w:hAnsi="Times New Roman" w:cs="Times New Roman"/>
        </w:rPr>
        <w:t>IoU</w:t>
      </w:r>
      <w:proofErr w:type="spellEnd"/>
      <w:r w:rsidRPr="2F95CF60">
        <w:rPr>
          <w:rFonts w:ascii="Times New Roman" w:hAnsi="Times New Roman" w:cs="Times New Roman"/>
        </w:rPr>
        <w:t xml:space="preserve"> </w:t>
      </w:r>
      <w:r w:rsidR="045198E9" w:rsidRPr="2F95CF60">
        <w:rPr>
          <w:rFonts w:ascii="Times New Roman" w:hAnsi="Times New Roman" w:cs="Times New Roman"/>
        </w:rPr>
        <w:t>lävendiga 0,5.</w:t>
      </w:r>
    </w:p>
    <w:sectPr w:rsidR="3204D9D1" w:rsidSect="00FB2F7B">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DA577" w14:textId="77777777" w:rsidR="00AF5152" w:rsidRDefault="00AF5152">
      <w:pPr>
        <w:spacing w:after="0" w:line="240" w:lineRule="auto"/>
      </w:pPr>
      <w:r>
        <w:separator/>
      </w:r>
    </w:p>
  </w:endnote>
  <w:endnote w:type="continuationSeparator" w:id="0">
    <w:p w14:paraId="52BC220B" w14:textId="77777777" w:rsidR="00AF5152" w:rsidRDefault="00AF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ino">
    <w:altName w:val="Calibri"/>
    <w:panose1 w:val="00000000000000000000"/>
    <w:charset w:val="00"/>
    <w:family w:val="modern"/>
    <w:notTrueType/>
    <w:pitch w:val="variable"/>
    <w:sig w:usb0="800002AF" w:usb1="4000004A" w:usb2="00000000" w:usb3="00000000" w:csb0="00000097"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17FB" w14:textId="6BE6FFCC" w:rsidR="18F3AC6F" w:rsidRDefault="18F3AC6F">
      <w:pPr>
        <w:spacing w:after="0" w:line="240" w:lineRule="auto"/>
      </w:pPr>
      <w:r>
        <w:separator/>
      </w:r>
    </w:p>
  </w:footnote>
  <w:footnote w:type="continuationSeparator" w:id="0">
    <w:p w14:paraId="2D38FE17" w14:textId="4102746A" w:rsidR="18F3AC6F" w:rsidRDefault="18F3A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81A" w14:textId="31E275D6" w:rsidR="00FB2F7B" w:rsidRDefault="00FB2F7B">
    <w:pPr>
      <w:pStyle w:val="Header"/>
    </w:pPr>
  </w:p>
  <w:p w14:paraId="09225321" w14:textId="77777777" w:rsidR="00FB2F7B" w:rsidRDefault="00FB2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0F2E" w14:textId="1394BAD2" w:rsidR="00FB2F7B" w:rsidRPr="005C0DAB" w:rsidRDefault="00FB2F7B" w:rsidP="00FB2F7B">
    <w:pPr>
      <w:pStyle w:val="Header"/>
      <w:rPr>
        <w:rFonts w:ascii="Times New Roman" w:hAnsi="Times New Roman" w:cs="Times New Roman"/>
        <w:i/>
        <w:iCs/>
        <w:color w:val="0070C0"/>
      </w:rPr>
    </w:pPr>
    <w:r w:rsidRPr="005C0DAB">
      <w:rPr>
        <w:rFonts w:ascii="Times New Roman" w:hAnsi="Times New Roman" w:cs="Times New Roman"/>
        <w:i/>
        <w:iCs/>
        <w:color w:val="0070C0"/>
      </w:rPr>
      <w:t>Süvaõppe kasutusvõimalused ruumiandmete hõivel (Maa</w:t>
    </w:r>
    <w:r w:rsidR="00140D21" w:rsidRPr="005C0DAB">
      <w:rPr>
        <w:rFonts w:ascii="Times New Roman" w:hAnsi="Times New Roman" w:cs="Times New Roman"/>
        <w:i/>
        <w:iCs/>
        <w:color w:val="0070C0"/>
      </w:rPr>
      <w:t>- ja Ruumi</w:t>
    </w:r>
    <w:r w:rsidRPr="005C0DAB">
      <w:rPr>
        <w:rFonts w:ascii="Times New Roman" w:hAnsi="Times New Roman" w:cs="Times New Roman"/>
        <w:i/>
        <w:iCs/>
        <w:color w:val="0070C0"/>
      </w:rPr>
      <w:t>amet)</w:t>
    </w:r>
  </w:p>
  <w:p w14:paraId="3A51DD34" w14:textId="78F83033" w:rsidR="00FB2F7B" w:rsidRPr="005C0DAB" w:rsidRDefault="00FB2F7B" w:rsidP="00FB2F7B">
    <w:pPr>
      <w:pStyle w:val="Header"/>
      <w:rPr>
        <w:rFonts w:ascii="Times New Roman" w:hAnsi="Times New Roman" w:cs="Times New Roman"/>
        <w:i/>
        <w:iCs/>
        <w:color w:val="0070C0"/>
      </w:rPr>
    </w:pPr>
    <w:r w:rsidRPr="005C0DAB">
      <w:rPr>
        <w:rFonts w:ascii="Times New Roman" w:hAnsi="Times New Roman" w:cs="Times New Roman"/>
        <w:i/>
        <w:iCs/>
        <w:color w:val="0070C0"/>
      </w:rPr>
      <w:t>Viitenumber: 286764</w:t>
    </w:r>
  </w:p>
  <w:p w14:paraId="05881B8E" w14:textId="77777777" w:rsidR="00FB2F7B" w:rsidRPr="00630D20" w:rsidRDefault="00FB2F7B" w:rsidP="00FB2F7B">
    <w:pPr>
      <w:pStyle w:val="Header"/>
      <w:rPr>
        <w:rFonts w:ascii="Times New Roman" w:hAnsi="Times New Roman" w:cs="Times New Roman"/>
        <w:color w:val="0070C0"/>
      </w:rPr>
    </w:pPr>
  </w:p>
  <w:p w14:paraId="77B5592B" w14:textId="5DF0C062" w:rsidR="00FB2F7B" w:rsidRPr="00630D20" w:rsidRDefault="00FB2F7B" w:rsidP="00FB2F7B">
    <w:pPr>
      <w:pStyle w:val="Header"/>
      <w:rPr>
        <w:rFonts w:ascii="Times New Roman" w:hAnsi="Times New Roman" w:cs="Times New Roman"/>
        <w:b/>
        <w:bCs/>
        <w:color w:val="0070C0"/>
      </w:rPr>
    </w:pPr>
    <w:r w:rsidRPr="00630D20">
      <w:rPr>
        <w:rFonts w:ascii="Times New Roman" w:hAnsi="Times New Roman" w:cs="Times New Roman"/>
        <w:b/>
        <w:bCs/>
        <w:color w:val="0070C0"/>
      </w:rPr>
      <w:t>HINDAMISMETOODIKA</w:t>
    </w:r>
    <w:r w:rsidR="00140D21" w:rsidRPr="00630D20">
      <w:rPr>
        <w:rFonts w:ascii="Times New Roman" w:hAnsi="Times New Roman" w:cs="Times New Roman"/>
        <w:b/>
        <w:bCs/>
        <w:color w:val="0070C0"/>
      </w:rPr>
      <w:t xml:space="preserve"> KIRJELDUS</w:t>
    </w:r>
  </w:p>
  <w:p w14:paraId="4B379F9F" w14:textId="77777777" w:rsidR="00FB2F7B" w:rsidRPr="00630D20" w:rsidRDefault="00FB2F7B" w:rsidP="00FB2F7B">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1228"/>
    <w:multiLevelType w:val="hybridMultilevel"/>
    <w:tmpl w:val="7E9828D4"/>
    <w:lvl w:ilvl="0" w:tplc="97A407F2">
      <w:start w:val="1"/>
      <w:numFmt w:val="bullet"/>
      <w:lvlText w:val=""/>
      <w:lvlJc w:val="left"/>
      <w:pPr>
        <w:ind w:left="720" w:hanging="360"/>
      </w:pPr>
      <w:rPr>
        <w:rFonts w:ascii="Symbol" w:hAnsi="Symbol"/>
      </w:rPr>
    </w:lvl>
    <w:lvl w:ilvl="1" w:tplc="438CAB38">
      <w:start w:val="1"/>
      <w:numFmt w:val="bullet"/>
      <w:lvlText w:val=""/>
      <w:lvlJc w:val="left"/>
      <w:pPr>
        <w:ind w:left="720" w:hanging="360"/>
      </w:pPr>
      <w:rPr>
        <w:rFonts w:ascii="Symbol" w:hAnsi="Symbol"/>
      </w:rPr>
    </w:lvl>
    <w:lvl w:ilvl="2" w:tplc="1F567B54">
      <w:start w:val="1"/>
      <w:numFmt w:val="bullet"/>
      <w:lvlText w:val=""/>
      <w:lvlJc w:val="left"/>
      <w:pPr>
        <w:ind w:left="720" w:hanging="360"/>
      </w:pPr>
      <w:rPr>
        <w:rFonts w:ascii="Symbol" w:hAnsi="Symbol"/>
      </w:rPr>
    </w:lvl>
    <w:lvl w:ilvl="3" w:tplc="AA66B538">
      <w:start w:val="1"/>
      <w:numFmt w:val="bullet"/>
      <w:lvlText w:val=""/>
      <w:lvlJc w:val="left"/>
      <w:pPr>
        <w:ind w:left="720" w:hanging="360"/>
      </w:pPr>
      <w:rPr>
        <w:rFonts w:ascii="Symbol" w:hAnsi="Symbol"/>
      </w:rPr>
    </w:lvl>
    <w:lvl w:ilvl="4" w:tplc="D77C5450">
      <w:start w:val="1"/>
      <w:numFmt w:val="bullet"/>
      <w:lvlText w:val=""/>
      <w:lvlJc w:val="left"/>
      <w:pPr>
        <w:ind w:left="720" w:hanging="360"/>
      </w:pPr>
      <w:rPr>
        <w:rFonts w:ascii="Symbol" w:hAnsi="Symbol"/>
      </w:rPr>
    </w:lvl>
    <w:lvl w:ilvl="5" w:tplc="0E02A44C">
      <w:start w:val="1"/>
      <w:numFmt w:val="bullet"/>
      <w:lvlText w:val=""/>
      <w:lvlJc w:val="left"/>
      <w:pPr>
        <w:ind w:left="720" w:hanging="360"/>
      </w:pPr>
      <w:rPr>
        <w:rFonts w:ascii="Symbol" w:hAnsi="Symbol"/>
      </w:rPr>
    </w:lvl>
    <w:lvl w:ilvl="6" w:tplc="9C3E8BC4">
      <w:start w:val="1"/>
      <w:numFmt w:val="bullet"/>
      <w:lvlText w:val=""/>
      <w:lvlJc w:val="left"/>
      <w:pPr>
        <w:ind w:left="720" w:hanging="360"/>
      </w:pPr>
      <w:rPr>
        <w:rFonts w:ascii="Symbol" w:hAnsi="Symbol"/>
      </w:rPr>
    </w:lvl>
    <w:lvl w:ilvl="7" w:tplc="67FCBF82">
      <w:start w:val="1"/>
      <w:numFmt w:val="bullet"/>
      <w:lvlText w:val=""/>
      <w:lvlJc w:val="left"/>
      <w:pPr>
        <w:ind w:left="720" w:hanging="360"/>
      </w:pPr>
      <w:rPr>
        <w:rFonts w:ascii="Symbol" w:hAnsi="Symbol"/>
      </w:rPr>
    </w:lvl>
    <w:lvl w:ilvl="8" w:tplc="6F1604B6">
      <w:start w:val="1"/>
      <w:numFmt w:val="bullet"/>
      <w:lvlText w:val=""/>
      <w:lvlJc w:val="left"/>
      <w:pPr>
        <w:ind w:left="720" w:hanging="360"/>
      </w:pPr>
      <w:rPr>
        <w:rFonts w:ascii="Symbol" w:hAnsi="Symbol"/>
      </w:rPr>
    </w:lvl>
  </w:abstractNum>
  <w:abstractNum w:abstractNumId="1" w15:restartNumberingAfterBreak="0">
    <w:nsid w:val="1A002C37"/>
    <w:multiLevelType w:val="hybridMultilevel"/>
    <w:tmpl w:val="C8784D74"/>
    <w:lvl w:ilvl="0" w:tplc="79B48AE8">
      <w:start w:val="1"/>
      <w:numFmt w:val="decimal"/>
      <w:pStyle w:val="Vahepealkiri"/>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C800688"/>
    <w:multiLevelType w:val="multilevel"/>
    <w:tmpl w:val="7868D04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421A8A"/>
    <w:multiLevelType w:val="hybridMultilevel"/>
    <w:tmpl w:val="440AA6B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19F700D"/>
    <w:multiLevelType w:val="hybridMultilevel"/>
    <w:tmpl w:val="0F04928A"/>
    <w:lvl w:ilvl="0" w:tplc="64C8E8DC">
      <w:start w:val="1"/>
      <w:numFmt w:val="bullet"/>
      <w:lvlText w:val=""/>
      <w:lvlJc w:val="left"/>
      <w:pPr>
        <w:ind w:left="720" w:hanging="360"/>
      </w:pPr>
      <w:rPr>
        <w:rFonts w:ascii="Symbol" w:hAnsi="Symbol" w:hint="default"/>
      </w:rPr>
    </w:lvl>
    <w:lvl w:ilvl="1" w:tplc="DAC08912">
      <w:start w:val="1"/>
      <w:numFmt w:val="bullet"/>
      <w:lvlText w:val="o"/>
      <w:lvlJc w:val="left"/>
      <w:pPr>
        <w:ind w:left="1440" w:hanging="360"/>
      </w:pPr>
      <w:rPr>
        <w:rFonts w:ascii="Courier New" w:hAnsi="Courier New" w:hint="default"/>
      </w:rPr>
    </w:lvl>
    <w:lvl w:ilvl="2" w:tplc="11A40198">
      <w:start w:val="1"/>
      <w:numFmt w:val="bullet"/>
      <w:lvlText w:val=""/>
      <w:lvlJc w:val="left"/>
      <w:pPr>
        <w:ind w:left="2160" w:hanging="360"/>
      </w:pPr>
      <w:rPr>
        <w:rFonts w:ascii="Wingdings" w:hAnsi="Wingdings" w:hint="default"/>
      </w:rPr>
    </w:lvl>
    <w:lvl w:ilvl="3" w:tplc="8A7068E4">
      <w:start w:val="1"/>
      <w:numFmt w:val="bullet"/>
      <w:lvlText w:val=""/>
      <w:lvlJc w:val="left"/>
      <w:pPr>
        <w:ind w:left="2880" w:hanging="360"/>
      </w:pPr>
      <w:rPr>
        <w:rFonts w:ascii="Symbol" w:hAnsi="Symbol" w:hint="default"/>
      </w:rPr>
    </w:lvl>
    <w:lvl w:ilvl="4" w:tplc="8F6499CC">
      <w:start w:val="1"/>
      <w:numFmt w:val="bullet"/>
      <w:lvlText w:val="o"/>
      <w:lvlJc w:val="left"/>
      <w:pPr>
        <w:ind w:left="3600" w:hanging="360"/>
      </w:pPr>
      <w:rPr>
        <w:rFonts w:ascii="Courier New" w:hAnsi="Courier New" w:hint="default"/>
      </w:rPr>
    </w:lvl>
    <w:lvl w:ilvl="5" w:tplc="A5702C3A">
      <w:start w:val="1"/>
      <w:numFmt w:val="bullet"/>
      <w:lvlText w:val=""/>
      <w:lvlJc w:val="left"/>
      <w:pPr>
        <w:ind w:left="4320" w:hanging="360"/>
      </w:pPr>
      <w:rPr>
        <w:rFonts w:ascii="Wingdings" w:hAnsi="Wingdings" w:hint="default"/>
      </w:rPr>
    </w:lvl>
    <w:lvl w:ilvl="6" w:tplc="0D7CB308">
      <w:start w:val="1"/>
      <w:numFmt w:val="bullet"/>
      <w:lvlText w:val=""/>
      <w:lvlJc w:val="left"/>
      <w:pPr>
        <w:ind w:left="5040" w:hanging="360"/>
      </w:pPr>
      <w:rPr>
        <w:rFonts w:ascii="Symbol" w:hAnsi="Symbol" w:hint="default"/>
      </w:rPr>
    </w:lvl>
    <w:lvl w:ilvl="7" w:tplc="DEAAC33A">
      <w:start w:val="1"/>
      <w:numFmt w:val="bullet"/>
      <w:lvlText w:val="o"/>
      <w:lvlJc w:val="left"/>
      <w:pPr>
        <w:ind w:left="5760" w:hanging="360"/>
      </w:pPr>
      <w:rPr>
        <w:rFonts w:ascii="Courier New" w:hAnsi="Courier New" w:hint="default"/>
      </w:rPr>
    </w:lvl>
    <w:lvl w:ilvl="8" w:tplc="F9FE4626">
      <w:start w:val="1"/>
      <w:numFmt w:val="bullet"/>
      <w:lvlText w:val=""/>
      <w:lvlJc w:val="left"/>
      <w:pPr>
        <w:ind w:left="6480" w:hanging="360"/>
      </w:pPr>
      <w:rPr>
        <w:rFonts w:ascii="Wingdings" w:hAnsi="Wingdings" w:hint="default"/>
      </w:rPr>
    </w:lvl>
  </w:abstractNum>
  <w:abstractNum w:abstractNumId="5" w15:restartNumberingAfterBreak="0">
    <w:nsid w:val="498959AA"/>
    <w:multiLevelType w:val="multilevel"/>
    <w:tmpl w:val="19CC006A"/>
    <w:lvl w:ilvl="0">
      <w:start w:val="6"/>
      <w:numFmt w:val="decimal"/>
      <w:lvlText w:val="%1."/>
      <w:lvlJc w:val="left"/>
      <w:pPr>
        <w:ind w:left="360" w:hanging="360"/>
      </w:pPr>
      <w:rPr>
        <w:rFonts w:hint="default"/>
        <w:b/>
      </w:rPr>
    </w:lvl>
    <w:lvl w:ilvl="1">
      <w:start w:val="1"/>
      <w:numFmt w:val="decimal"/>
      <w:lvlText w:val="%1.%2."/>
      <w:lvlJc w:val="left"/>
      <w:pPr>
        <w:ind w:left="1074" w:hanging="360"/>
      </w:pPr>
      <w:rPr>
        <w:rFonts w:hint="default"/>
        <w:b/>
      </w:rPr>
    </w:lvl>
    <w:lvl w:ilvl="2">
      <w:start w:val="1"/>
      <w:numFmt w:val="decimal"/>
      <w:lvlText w:val="%1.%2.%3."/>
      <w:lvlJc w:val="left"/>
      <w:pPr>
        <w:ind w:left="2148" w:hanging="720"/>
      </w:pPr>
      <w:rPr>
        <w:rFonts w:hint="default"/>
        <w:b/>
      </w:rPr>
    </w:lvl>
    <w:lvl w:ilvl="3">
      <w:start w:val="1"/>
      <w:numFmt w:val="decimal"/>
      <w:lvlText w:val="%1.%2.%3.%4."/>
      <w:lvlJc w:val="left"/>
      <w:pPr>
        <w:ind w:left="2862" w:hanging="720"/>
      </w:pPr>
      <w:rPr>
        <w:rFonts w:hint="default"/>
        <w:b/>
      </w:rPr>
    </w:lvl>
    <w:lvl w:ilvl="4">
      <w:start w:val="1"/>
      <w:numFmt w:val="decimal"/>
      <w:lvlText w:val="%1.%2.%3.%4.%5."/>
      <w:lvlJc w:val="left"/>
      <w:pPr>
        <w:ind w:left="3936" w:hanging="1080"/>
      </w:pPr>
      <w:rPr>
        <w:rFonts w:hint="default"/>
        <w:b/>
      </w:rPr>
    </w:lvl>
    <w:lvl w:ilvl="5">
      <w:start w:val="1"/>
      <w:numFmt w:val="decimal"/>
      <w:lvlText w:val="%1.%2.%3.%4.%5.%6."/>
      <w:lvlJc w:val="left"/>
      <w:pPr>
        <w:ind w:left="4650" w:hanging="1080"/>
      </w:pPr>
      <w:rPr>
        <w:rFonts w:hint="default"/>
        <w:b/>
      </w:rPr>
    </w:lvl>
    <w:lvl w:ilvl="6">
      <w:start w:val="1"/>
      <w:numFmt w:val="decimal"/>
      <w:lvlText w:val="%1.%2.%3.%4.%5.%6.%7."/>
      <w:lvlJc w:val="left"/>
      <w:pPr>
        <w:ind w:left="5724" w:hanging="1440"/>
      </w:pPr>
      <w:rPr>
        <w:rFonts w:hint="default"/>
        <w:b/>
      </w:rPr>
    </w:lvl>
    <w:lvl w:ilvl="7">
      <w:start w:val="1"/>
      <w:numFmt w:val="decimal"/>
      <w:lvlText w:val="%1.%2.%3.%4.%5.%6.%7.%8."/>
      <w:lvlJc w:val="left"/>
      <w:pPr>
        <w:ind w:left="6438" w:hanging="1440"/>
      </w:pPr>
      <w:rPr>
        <w:rFonts w:hint="default"/>
        <w:b/>
      </w:rPr>
    </w:lvl>
    <w:lvl w:ilvl="8">
      <w:start w:val="1"/>
      <w:numFmt w:val="decimal"/>
      <w:lvlText w:val="%1.%2.%3.%4.%5.%6.%7.%8.%9."/>
      <w:lvlJc w:val="left"/>
      <w:pPr>
        <w:ind w:left="7512" w:hanging="1800"/>
      </w:pPr>
      <w:rPr>
        <w:rFonts w:hint="default"/>
        <w:b/>
      </w:rPr>
    </w:lvl>
  </w:abstractNum>
  <w:abstractNum w:abstractNumId="6" w15:restartNumberingAfterBreak="0">
    <w:nsid w:val="5B6E5343"/>
    <w:multiLevelType w:val="hybridMultilevel"/>
    <w:tmpl w:val="E304CD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AAA2794"/>
    <w:multiLevelType w:val="hybridMultilevel"/>
    <w:tmpl w:val="F0F8F164"/>
    <w:lvl w:ilvl="0" w:tplc="D8EA33C8">
      <w:start w:val="7"/>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1624724932">
    <w:abstractNumId w:val="4"/>
  </w:num>
  <w:num w:numId="2" w16cid:durableId="492138479">
    <w:abstractNumId w:val="1"/>
  </w:num>
  <w:num w:numId="3" w16cid:durableId="2136563524">
    <w:abstractNumId w:val="2"/>
  </w:num>
  <w:num w:numId="4" w16cid:durableId="1337921986">
    <w:abstractNumId w:val="6"/>
  </w:num>
  <w:num w:numId="5" w16cid:durableId="1667586684">
    <w:abstractNumId w:val="3"/>
  </w:num>
  <w:num w:numId="6" w16cid:durableId="25645400">
    <w:abstractNumId w:val="7"/>
  </w:num>
  <w:num w:numId="7" w16cid:durableId="499270817">
    <w:abstractNumId w:val="5"/>
  </w:num>
  <w:num w:numId="8" w16cid:durableId="211420498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355D"/>
    <w:rsid w:val="0000425A"/>
    <w:rsid w:val="00042586"/>
    <w:rsid w:val="0007434A"/>
    <w:rsid w:val="000802B7"/>
    <w:rsid w:val="00085202"/>
    <w:rsid w:val="00086008"/>
    <w:rsid w:val="000B62E0"/>
    <w:rsid w:val="000C4970"/>
    <w:rsid w:val="000D75EA"/>
    <w:rsid w:val="000F5CD6"/>
    <w:rsid w:val="00140D21"/>
    <w:rsid w:val="001A6F1C"/>
    <w:rsid w:val="001E7944"/>
    <w:rsid w:val="001F38F8"/>
    <w:rsid w:val="00225DBD"/>
    <w:rsid w:val="002362E5"/>
    <w:rsid w:val="00241BDD"/>
    <w:rsid w:val="00245A2E"/>
    <w:rsid w:val="0024653B"/>
    <w:rsid w:val="0025087F"/>
    <w:rsid w:val="0025346A"/>
    <w:rsid w:val="00254693"/>
    <w:rsid w:val="00257DBC"/>
    <w:rsid w:val="00270423"/>
    <w:rsid w:val="002757E1"/>
    <w:rsid w:val="002A539B"/>
    <w:rsid w:val="002C0521"/>
    <w:rsid w:val="002C325E"/>
    <w:rsid w:val="002E7D4D"/>
    <w:rsid w:val="003000B5"/>
    <w:rsid w:val="00324549"/>
    <w:rsid w:val="00342F5D"/>
    <w:rsid w:val="003450B3"/>
    <w:rsid w:val="00364D8A"/>
    <w:rsid w:val="0036511A"/>
    <w:rsid w:val="003D0F77"/>
    <w:rsid w:val="003E1D39"/>
    <w:rsid w:val="003E4C15"/>
    <w:rsid w:val="0046355D"/>
    <w:rsid w:val="004B1AB8"/>
    <w:rsid w:val="004F41DA"/>
    <w:rsid w:val="0050381B"/>
    <w:rsid w:val="00514D7F"/>
    <w:rsid w:val="005270E7"/>
    <w:rsid w:val="0052781B"/>
    <w:rsid w:val="00545D1D"/>
    <w:rsid w:val="0056022B"/>
    <w:rsid w:val="00576AC0"/>
    <w:rsid w:val="005A04A6"/>
    <w:rsid w:val="005B6679"/>
    <w:rsid w:val="005C0010"/>
    <w:rsid w:val="005C0DAB"/>
    <w:rsid w:val="0061191E"/>
    <w:rsid w:val="00617966"/>
    <w:rsid w:val="00630D20"/>
    <w:rsid w:val="00652789"/>
    <w:rsid w:val="00671F59"/>
    <w:rsid w:val="00675F0B"/>
    <w:rsid w:val="0067754F"/>
    <w:rsid w:val="006930E9"/>
    <w:rsid w:val="006A7347"/>
    <w:rsid w:val="006B0139"/>
    <w:rsid w:val="006B5133"/>
    <w:rsid w:val="006C3E1F"/>
    <w:rsid w:val="006D16CA"/>
    <w:rsid w:val="00724F4F"/>
    <w:rsid w:val="00741509"/>
    <w:rsid w:val="00741FEB"/>
    <w:rsid w:val="00782015"/>
    <w:rsid w:val="007825B6"/>
    <w:rsid w:val="00794A2F"/>
    <w:rsid w:val="00796B66"/>
    <w:rsid w:val="007B1053"/>
    <w:rsid w:val="007B4BE5"/>
    <w:rsid w:val="007D7D91"/>
    <w:rsid w:val="007F74F8"/>
    <w:rsid w:val="00813EF2"/>
    <w:rsid w:val="00814666"/>
    <w:rsid w:val="00833B13"/>
    <w:rsid w:val="008445A9"/>
    <w:rsid w:val="008454D5"/>
    <w:rsid w:val="00857489"/>
    <w:rsid w:val="00872E39"/>
    <w:rsid w:val="00877A8B"/>
    <w:rsid w:val="00883288"/>
    <w:rsid w:val="008B1785"/>
    <w:rsid w:val="008C6CB0"/>
    <w:rsid w:val="00926D8D"/>
    <w:rsid w:val="00A264B1"/>
    <w:rsid w:val="00A2722A"/>
    <w:rsid w:val="00A75DCB"/>
    <w:rsid w:val="00AB2E0C"/>
    <w:rsid w:val="00AB6BF9"/>
    <w:rsid w:val="00AC2224"/>
    <w:rsid w:val="00AD10EA"/>
    <w:rsid w:val="00AD681C"/>
    <w:rsid w:val="00AE0AC0"/>
    <w:rsid w:val="00AF5152"/>
    <w:rsid w:val="00AF71C4"/>
    <w:rsid w:val="00B11C1B"/>
    <w:rsid w:val="00B57DF1"/>
    <w:rsid w:val="00B6043B"/>
    <w:rsid w:val="00B66D64"/>
    <w:rsid w:val="00B66ED3"/>
    <w:rsid w:val="00B7746E"/>
    <w:rsid w:val="00B861D7"/>
    <w:rsid w:val="00BA1CB3"/>
    <w:rsid w:val="00BC0DE3"/>
    <w:rsid w:val="00C00124"/>
    <w:rsid w:val="00C11E4B"/>
    <w:rsid w:val="00C12C94"/>
    <w:rsid w:val="00C3D006"/>
    <w:rsid w:val="00C4562F"/>
    <w:rsid w:val="00C51C22"/>
    <w:rsid w:val="00CA71B8"/>
    <w:rsid w:val="00CA74BB"/>
    <w:rsid w:val="00CD6961"/>
    <w:rsid w:val="00CF6398"/>
    <w:rsid w:val="00DA129A"/>
    <w:rsid w:val="00DA1967"/>
    <w:rsid w:val="00DA577C"/>
    <w:rsid w:val="00DB17CF"/>
    <w:rsid w:val="00DB39A2"/>
    <w:rsid w:val="00DB6D6C"/>
    <w:rsid w:val="00DD032C"/>
    <w:rsid w:val="00DD4C3B"/>
    <w:rsid w:val="00DE78D1"/>
    <w:rsid w:val="00E1528F"/>
    <w:rsid w:val="00E44D2F"/>
    <w:rsid w:val="00E92CAA"/>
    <w:rsid w:val="00E964CE"/>
    <w:rsid w:val="00EB3C6F"/>
    <w:rsid w:val="00EB7E16"/>
    <w:rsid w:val="00EC5C6B"/>
    <w:rsid w:val="00EF36F6"/>
    <w:rsid w:val="00EF3774"/>
    <w:rsid w:val="00F00BE5"/>
    <w:rsid w:val="00F079AB"/>
    <w:rsid w:val="00F14540"/>
    <w:rsid w:val="00F36F6B"/>
    <w:rsid w:val="00F3727B"/>
    <w:rsid w:val="00F42A9B"/>
    <w:rsid w:val="00F51CD1"/>
    <w:rsid w:val="00F673C8"/>
    <w:rsid w:val="00FB27A6"/>
    <w:rsid w:val="00FB2F7B"/>
    <w:rsid w:val="00FB5CF4"/>
    <w:rsid w:val="00FC0C2D"/>
    <w:rsid w:val="00FC37AC"/>
    <w:rsid w:val="00FF7E66"/>
    <w:rsid w:val="0116475A"/>
    <w:rsid w:val="01191BF1"/>
    <w:rsid w:val="0159FF5B"/>
    <w:rsid w:val="0194A492"/>
    <w:rsid w:val="01A4B69C"/>
    <w:rsid w:val="01A66BA1"/>
    <w:rsid w:val="01C9508B"/>
    <w:rsid w:val="01CE5A2E"/>
    <w:rsid w:val="01FD78FF"/>
    <w:rsid w:val="01FF9880"/>
    <w:rsid w:val="020CFCF4"/>
    <w:rsid w:val="021756D9"/>
    <w:rsid w:val="025B2EA2"/>
    <w:rsid w:val="028AD097"/>
    <w:rsid w:val="028D2CAF"/>
    <w:rsid w:val="029F152F"/>
    <w:rsid w:val="02B26394"/>
    <w:rsid w:val="02E8D121"/>
    <w:rsid w:val="02FED479"/>
    <w:rsid w:val="030D6203"/>
    <w:rsid w:val="031AA0C8"/>
    <w:rsid w:val="0321D3A5"/>
    <w:rsid w:val="0389F145"/>
    <w:rsid w:val="03D8F660"/>
    <w:rsid w:val="03F8B03B"/>
    <w:rsid w:val="041679F4"/>
    <w:rsid w:val="042DA43E"/>
    <w:rsid w:val="0443FCF6"/>
    <w:rsid w:val="0449F7B2"/>
    <w:rsid w:val="045198E9"/>
    <w:rsid w:val="04B8B599"/>
    <w:rsid w:val="04BBE15D"/>
    <w:rsid w:val="04DD395C"/>
    <w:rsid w:val="0523051F"/>
    <w:rsid w:val="05EC7565"/>
    <w:rsid w:val="0613E146"/>
    <w:rsid w:val="0644F6A3"/>
    <w:rsid w:val="06593C35"/>
    <w:rsid w:val="066A80B9"/>
    <w:rsid w:val="0690E02E"/>
    <w:rsid w:val="06B62920"/>
    <w:rsid w:val="06D6DDA9"/>
    <w:rsid w:val="072147A9"/>
    <w:rsid w:val="07282BA6"/>
    <w:rsid w:val="0741A37B"/>
    <w:rsid w:val="07468A7E"/>
    <w:rsid w:val="076B17A6"/>
    <w:rsid w:val="07752B5A"/>
    <w:rsid w:val="078555CB"/>
    <w:rsid w:val="07ED26E9"/>
    <w:rsid w:val="080C5E10"/>
    <w:rsid w:val="081F7E15"/>
    <w:rsid w:val="0824488D"/>
    <w:rsid w:val="08258A96"/>
    <w:rsid w:val="082DC5D3"/>
    <w:rsid w:val="08654D0C"/>
    <w:rsid w:val="08678B4F"/>
    <w:rsid w:val="086A84C6"/>
    <w:rsid w:val="08A905F4"/>
    <w:rsid w:val="08E3A1D8"/>
    <w:rsid w:val="08F5AC71"/>
    <w:rsid w:val="09384CD0"/>
    <w:rsid w:val="093FB278"/>
    <w:rsid w:val="096ED6F5"/>
    <w:rsid w:val="09943AF4"/>
    <w:rsid w:val="09A238E6"/>
    <w:rsid w:val="09DEBE15"/>
    <w:rsid w:val="0A1CEDC3"/>
    <w:rsid w:val="0A26E5D7"/>
    <w:rsid w:val="0A865A04"/>
    <w:rsid w:val="0A9A0A0B"/>
    <w:rsid w:val="0AC451DD"/>
    <w:rsid w:val="0AFDF8BC"/>
    <w:rsid w:val="0B5119C4"/>
    <w:rsid w:val="0B57068D"/>
    <w:rsid w:val="0B77A9B8"/>
    <w:rsid w:val="0B9C171A"/>
    <w:rsid w:val="0BB80CE0"/>
    <w:rsid w:val="0BD32A3A"/>
    <w:rsid w:val="0BE8FCEC"/>
    <w:rsid w:val="0C50E7E5"/>
    <w:rsid w:val="0C6FFA66"/>
    <w:rsid w:val="0C9459A6"/>
    <w:rsid w:val="0CABE5C4"/>
    <w:rsid w:val="0CB0E051"/>
    <w:rsid w:val="0D483060"/>
    <w:rsid w:val="0D567FB9"/>
    <w:rsid w:val="0DA20B46"/>
    <w:rsid w:val="0DDD54DD"/>
    <w:rsid w:val="0E0EADE1"/>
    <w:rsid w:val="0E73E608"/>
    <w:rsid w:val="0E92CFD7"/>
    <w:rsid w:val="0EBA1BE6"/>
    <w:rsid w:val="0ECCC83E"/>
    <w:rsid w:val="0ED9D4D5"/>
    <w:rsid w:val="0F077BA6"/>
    <w:rsid w:val="0F090DCC"/>
    <w:rsid w:val="0F5E32B3"/>
    <w:rsid w:val="0FCBB8C9"/>
    <w:rsid w:val="105E67A2"/>
    <w:rsid w:val="1097B1C0"/>
    <w:rsid w:val="111CB4BE"/>
    <w:rsid w:val="112BE366"/>
    <w:rsid w:val="11368B1C"/>
    <w:rsid w:val="1147D026"/>
    <w:rsid w:val="11558A10"/>
    <w:rsid w:val="118F0EE1"/>
    <w:rsid w:val="12070DD7"/>
    <w:rsid w:val="12090A63"/>
    <w:rsid w:val="1246212C"/>
    <w:rsid w:val="128605E5"/>
    <w:rsid w:val="128F0320"/>
    <w:rsid w:val="12F87FE0"/>
    <w:rsid w:val="132151AD"/>
    <w:rsid w:val="13235E41"/>
    <w:rsid w:val="1354D4D8"/>
    <w:rsid w:val="135570FA"/>
    <w:rsid w:val="13598C60"/>
    <w:rsid w:val="13B072B6"/>
    <w:rsid w:val="13FB5B45"/>
    <w:rsid w:val="148AE848"/>
    <w:rsid w:val="14D5B829"/>
    <w:rsid w:val="14E16695"/>
    <w:rsid w:val="14F0DF5A"/>
    <w:rsid w:val="1544BC9B"/>
    <w:rsid w:val="15709128"/>
    <w:rsid w:val="15A7CE44"/>
    <w:rsid w:val="16183130"/>
    <w:rsid w:val="1624686B"/>
    <w:rsid w:val="16D4E7C5"/>
    <w:rsid w:val="16D74320"/>
    <w:rsid w:val="16D98A7B"/>
    <w:rsid w:val="173B83A8"/>
    <w:rsid w:val="17EC948F"/>
    <w:rsid w:val="17F20648"/>
    <w:rsid w:val="18C45B1D"/>
    <w:rsid w:val="18F3AC6F"/>
    <w:rsid w:val="193D42D4"/>
    <w:rsid w:val="19A5AE9B"/>
    <w:rsid w:val="19D92888"/>
    <w:rsid w:val="19EAC1DF"/>
    <w:rsid w:val="1A36D236"/>
    <w:rsid w:val="1B03799F"/>
    <w:rsid w:val="1B131C3D"/>
    <w:rsid w:val="1B1B914F"/>
    <w:rsid w:val="1B3794E0"/>
    <w:rsid w:val="1B37CA2C"/>
    <w:rsid w:val="1B3FF3B7"/>
    <w:rsid w:val="1B4F10B0"/>
    <w:rsid w:val="1BBB8E2A"/>
    <w:rsid w:val="1C5D2740"/>
    <w:rsid w:val="1CB21F0D"/>
    <w:rsid w:val="1CB40662"/>
    <w:rsid w:val="1CBFF2C2"/>
    <w:rsid w:val="1CD368F5"/>
    <w:rsid w:val="1D5D1E73"/>
    <w:rsid w:val="1D802358"/>
    <w:rsid w:val="1D94EDA7"/>
    <w:rsid w:val="1D9C6EBA"/>
    <w:rsid w:val="1DC67CC8"/>
    <w:rsid w:val="1DCA6650"/>
    <w:rsid w:val="1DDE627B"/>
    <w:rsid w:val="1E01AC22"/>
    <w:rsid w:val="1E24C6BC"/>
    <w:rsid w:val="1E389AFA"/>
    <w:rsid w:val="1E6BD651"/>
    <w:rsid w:val="1EE6DDB8"/>
    <w:rsid w:val="1F064ABF"/>
    <w:rsid w:val="1F288CDE"/>
    <w:rsid w:val="1F5F7620"/>
    <w:rsid w:val="1F6266F8"/>
    <w:rsid w:val="1F638276"/>
    <w:rsid w:val="1F73A77F"/>
    <w:rsid w:val="1F7DE86D"/>
    <w:rsid w:val="1F8165C1"/>
    <w:rsid w:val="1F8FB368"/>
    <w:rsid w:val="1F9DAF75"/>
    <w:rsid w:val="1FB4A020"/>
    <w:rsid w:val="2037BA19"/>
    <w:rsid w:val="2047EF43"/>
    <w:rsid w:val="208B6A1C"/>
    <w:rsid w:val="208D9A5C"/>
    <w:rsid w:val="20A03E27"/>
    <w:rsid w:val="20B04F2F"/>
    <w:rsid w:val="20B9F854"/>
    <w:rsid w:val="20C3FBC9"/>
    <w:rsid w:val="20F60EEF"/>
    <w:rsid w:val="2138DAB5"/>
    <w:rsid w:val="215E3102"/>
    <w:rsid w:val="2171AC05"/>
    <w:rsid w:val="217944B9"/>
    <w:rsid w:val="217ECA8D"/>
    <w:rsid w:val="21CECB2D"/>
    <w:rsid w:val="225F7CA7"/>
    <w:rsid w:val="2278BD64"/>
    <w:rsid w:val="229818B4"/>
    <w:rsid w:val="22A75561"/>
    <w:rsid w:val="22C60A47"/>
    <w:rsid w:val="22EE6A2A"/>
    <w:rsid w:val="231C558A"/>
    <w:rsid w:val="231D7032"/>
    <w:rsid w:val="232EDEF7"/>
    <w:rsid w:val="234E3503"/>
    <w:rsid w:val="236916D1"/>
    <w:rsid w:val="23A6AB65"/>
    <w:rsid w:val="23BC2B34"/>
    <w:rsid w:val="23BF0E64"/>
    <w:rsid w:val="23C7E092"/>
    <w:rsid w:val="23E1C6C8"/>
    <w:rsid w:val="240BBC80"/>
    <w:rsid w:val="249AED3F"/>
    <w:rsid w:val="24A12D2C"/>
    <w:rsid w:val="24B8E705"/>
    <w:rsid w:val="25021D00"/>
    <w:rsid w:val="25078CD8"/>
    <w:rsid w:val="2581D553"/>
    <w:rsid w:val="2584B862"/>
    <w:rsid w:val="258C875B"/>
    <w:rsid w:val="25C0BE2D"/>
    <w:rsid w:val="25D43115"/>
    <w:rsid w:val="25F48BE9"/>
    <w:rsid w:val="2625FFB7"/>
    <w:rsid w:val="262B789B"/>
    <w:rsid w:val="265C5327"/>
    <w:rsid w:val="26AFEE7D"/>
    <w:rsid w:val="26B94C90"/>
    <w:rsid w:val="26D08F30"/>
    <w:rsid w:val="26F478AF"/>
    <w:rsid w:val="27271F74"/>
    <w:rsid w:val="2736BF1D"/>
    <w:rsid w:val="274686BD"/>
    <w:rsid w:val="275693F9"/>
    <w:rsid w:val="2758B958"/>
    <w:rsid w:val="276A5F22"/>
    <w:rsid w:val="276AA4CD"/>
    <w:rsid w:val="2796403C"/>
    <w:rsid w:val="27AF16F3"/>
    <w:rsid w:val="27C51BB6"/>
    <w:rsid w:val="27F56A2B"/>
    <w:rsid w:val="27F5B469"/>
    <w:rsid w:val="28156468"/>
    <w:rsid w:val="283BEEFB"/>
    <w:rsid w:val="28767C45"/>
    <w:rsid w:val="28822B9B"/>
    <w:rsid w:val="288590C5"/>
    <w:rsid w:val="28A048E6"/>
    <w:rsid w:val="28CD5940"/>
    <w:rsid w:val="28D67415"/>
    <w:rsid w:val="28DFADED"/>
    <w:rsid w:val="28F2DF2E"/>
    <w:rsid w:val="28F65BA6"/>
    <w:rsid w:val="290D37A0"/>
    <w:rsid w:val="29707DF2"/>
    <w:rsid w:val="29900141"/>
    <w:rsid w:val="2A176EB9"/>
    <w:rsid w:val="2A9FE68A"/>
    <w:rsid w:val="2AEA552F"/>
    <w:rsid w:val="2B5BDE19"/>
    <w:rsid w:val="2B919391"/>
    <w:rsid w:val="2BA2C25B"/>
    <w:rsid w:val="2BB638C3"/>
    <w:rsid w:val="2BC73B0C"/>
    <w:rsid w:val="2C420BE0"/>
    <w:rsid w:val="2CE81A78"/>
    <w:rsid w:val="2CF54150"/>
    <w:rsid w:val="2DD19BF6"/>
    <w:rsid w:val="2DE6A8AB"/>
    <w:rsid w:val="2DF88E71"/>
    <w:rsid w:val="2E1D0009"/>
    <w:rsid w:val="2E39F881"/>
    <w:rsid w:val="2E47D446"/>
    <w:rsid w:val="2E679607"/>
    <w:rsid w:val="2E76D227"/>
    <w:rsid w:val="2EA480CD"/>
    <w:rsid w:val="2EBFBEC2"/>
    <w:rsid w:val="2EC5E104"/>
    <w:rsid w:val="2F1AD344"/>
    <w:rsid w:val="2F1B570C"/>
    <w:rsid w:val="2F443FAC"/>
    <w:rsid w:val="2F49E028"/>
    <w:rsid w:val="2F5E6DE7"/>
    <w:rsid w:val="2F7B0762"/>
    <w:rsid w:val="2F95CF60"/>
    <w:rsid w:val="2F98E25F"/>
    <w:rsid w:val="3037AEC7"/>
    <w:rsid w:val="3048D84D"/>
    <w:rsid w:val="308C6BA0"/>
    <w:rsid w:val="30A8CEBE"/>
    <w:rsid w:val="30AB1DF4"/>
    <w:rsid w:val="3168FF48"/>
    <w:rsid w:val="317EB570"/>
    <w:rsid w:val="317FBC75"/>
    <w:rsid w:val="318D1138"/>
    <w:rsid w:val="31AA9634"/>
    <w:rsid w:val="31DDA929"/>
    <w:rsid w:val="31F7B9DA"/>
    <w:rsid w:val="3204D9D1"/>
    <w:rsid w:val="3231F062"/>
    <w:rsid w:val="32397E24"/>
    <w:rsid w:val="3263865E"/>
    <w:rsid w:val="32692C15"/>
    <w:rsid w:val="32988FF3"/>
    <w:rsid w:val="329CF160"/>
    <w:rsid w:val="32A036DC"/>
    <w:rsid w:val="32C2D68F"/>
    <w:rsid w:val="32C8E809"/>
    <w:rsid w:val="32F0B211"/>
    <w:rsid w:val="32F503DC"/>
    <w:rsid w:val="332A6099"/>
    <w:rsid w:val="334723A5"/>
    <w:rsid w:val="334E4B40"/>
    <w:rsid w:val="33569037"/>
    <w:rsid w:val="339E479F"/>
    <w:rsid w:val="33A2D73C"/>
    <w:rsid w:val="33BB54C0"/>
    <w:rsid w:val="33BEE320"/>
    <w:rsid w:val="33E5CB6C"/>
    <w:rsid w:val="341DA735"/>
    <w:rsid w:val="3423F3CD"/>
    <w:rsid w:val="345D9CAF"/>
    <w:rsid w:val="34C3E5DA"/>
    <w:rsid w:val="34C496C3"/>
    <w:rsid w:val="34DB0AAB"/>
    <w:rsid w:val="3508D948"/>
    <w:rsid w:val="350AC1E5"/>
    <w:rsid w:val="352BE326"/>
    <w:rsid w:val="3532FEF1"/>
    <w:rsid w:val="3542FF43"/>
    <w:rsid w:val="354EE0C0"/>
    <w:rsid w:val="355058B1"/>
    <w:rsid w:val="35587AB9"/>
    <w:rsid w:val="358019BC"/>
    <w:rsid w:val="35C9658D"/>
    <w:rsid w:val="35F0B2EF"/>
    <w:rsid w:val="36232955"/>
    <w:rsid w:val="3646F49D"/>
    <w:rsid w:val="3686FDBF"/>
    <w:rsid w:val="369BA2FF"/>
    <w:rsid w:val="36EAB23E"/>
    <w:rsid w:val="36F7D98D"/>
    <w:rsid w:val="3717F0B7"/>
    <w:rsid w:val="3727F9FE"/>
    <w:rsid w:val="3791C57D"/>
    <w:rsid w:val="37B79A02"/>
    <w:rsid w:val="380B3AC5"/>
    <w:rsid w:val="3875A4A3"/>
    <w:rsid w:val="388EF7E1"/>
    <w:rsid w:val="38B37D7A"/>
    <w:rsid w:val="38BF5B36"/>
    <w:rsid w:val="390CC621"/>
    <w:rsid w:val="39153168"/>
    <w:rsid w:val="3935E3BF"/>
    <w:rsid w:val="398E6503"/>
    <w:rsid w:val="39A2AA06"/>
    <w:rsid w:val="39B15490"/>
    <w:rsid w:val="39BE9203"/>
    <w:rsid w:val="39C8EA1E"/>
    <w:rsid w:val="39D3B6D8"/>
    <w:rsid w:val="39E736F2"/>
    <w:rsid w:val="39F34746"/>
    <w:rsid w:val="3A026AA0"/>
    <w:rsid w:val="3A10D7DF"/>
    <w:rsid w:val="3A185C66"/>
    <w:rsid w:val="3A44A945"/>
    <w:rsid w:val="3A85A03C"/>
    <w:rsid w:val="3A899E49"/>
    <w:rsid w:val="3A8E3D29"/>
    <w:rsid w:val="3AA39FEC"/>
    <w:rsid w:val="3AA6DB4E"/>
    <w:rsid w:val="3AB2D47F"/>
    <w:rsid w:val="3B3703CD"/>
    <w:rsid w:val="3B4A448D"/>
    <w:rsid w:val="3BAFD579"/>
    <w:rsid w:val="3BB25F91"/>
    <w:rsid w:val="3BB2884D"/>
    <w:rsid w:val="3C0A2555"/>
    <w:rsid w:val="3C0F12A3"/>
    <w:rsid w:val="3C180027"/>
    <w:rsid w:val="3C4A81FC"/>
    <w:rsid w:val="3C4BCD83"/>
    <w:rsid w:val="3C5AE3A9"/>
    <w:rsid w:val="3C8DD82E"/>
    <w:rsid w:val="3CC88D64"/>
    <w:rsid w:val="3CE023A2"/>
    <w:rsid w:val="3CF565D6"/>
    <w:rsid w:val="3D17BFA5"/>
    <w:rsid w:val="3D9B18BC"/>
    <w:rsid w:val="3DCD80B1"/>
    <w:rsid w:val="3E03BB18"/>
    <w:rsid w:val="3E12BBE1"/>
    <w:rsid w:val="3E153AA0"/>
    <w:rsid w:val="3E87640A"/>
    <w:rsid w:val="3E8B3EE8"/>
    <w:rsid w:val="3EB1427A"/>
    <w:rsid w:val="3EB87B77"/>
    <w:rsid w:val="3ECF4E66"/>
    <w:rsid w:val="3EE0DC0A"/>
    <w:rsid w:val="3F475FA3"/>
    <w:rsid w:val="3F628618"/>
    <w:rsid w:val="3F6E9A30"/>
    <w:rsid w:val="4010BC32"/>
    <w:rsid w:val="401E61D6"/>
    <w:rsid w:val="402A7641"/>
    <w:rsid w:val="402D3EE0"/>
    <w:rsid w:val="406B37D0"/>
    <w:rsid w:val="40BBCBA8"/>
    <w:rsid w:val="40BC89A3"/>
    <w:rsid w:val="40BF240F"/>
    <w:rsid w:val="40FED84A"/>
    <w:rsid w:val="4108F01F"/>
    <w:rsid w:val="410F2D72"/>
    <w:rsid w:val="411BDBE9"/>
    <w:rsid w:val="415D4EAC"/>
    <w:rsid w:val="4169D860"/>
    <w:rsid w:val="41720A49"/>
    <w:rsid w:val="419083CC"/>
    <w:rsid w:val="41B6CC97"/>
    <w:rsid w:val="41C7D5AE"/>
    <w:rsid w:val="42754721"/>
    <w:rsid w:val="42AA4794"/>
    <w:rsid w:val="42B9A884"/>
    <w:rsid w:val="42DBFE09"/>
    <w:rsid w:val="4326A3D8"/>
    <w:rsid w:val="435476FD"/>
    <w:rsid w:val="436FCED2"/>
    <w:rsid w:val="43707679"/>
    <w:rsid w:val="43747454"/>
    <w:rsid w:val="439DD565"/>
    <w:rsid w:val="43A05FE9"/>
    <w:rsid w:val="43C2D4D2"/>
    <w:rsid w:val="43D60F25"/>
    <w:rsid w:val="4429F9CF"/>
    <w:rsid w:val="44A28AAB"/>
    <w:rsid w:val="44E4A63F"/>
    <w:rsid w:val="44ED58C4"/>
    <w:rsid w:val="44F751B9"/>
    <w:rsid w:val="45124665"/>
    <w:rsid w:val="45621BEB"/>
    <w:rsid w:val="45696223"/>
    <w:rsid w:val="45C6ABFA"/>
    <w:rsid w:val="45D8253B"/>
    <w:rsid w:val="45E9D883"/>
    <w:rsid w:val="461ECB6B"/>
    <w:rsid w:val="4635E1C6"/>
    <w:rsid w:val="4686CD6C"/>
    <w:rsid w:val="469FB9A5"/>
    <w:rsid w:val="46AAFC6A"/>
    <w:rsid w:val="46AB9F58"/>
    <w:rsid w:val="47124CEB"/>
    <w:rsid w:val="472F157F"/>
    <w:rsid w:val="477400FA"/>
    <w:rsid w:val="477AFD79"/>
    <w:rsid w:val="47A1AD10"/>
    <w:rsid w:val="47A34A71"/>
    <w:rsid w:val="47BC5328"/>
    <w:rsid w:val="47DF9AD4"/>
    <w:rsid w:val="480410B2"/>
    <w:rsid w:val="48157639"/>
    <w:rsid w:val="484EE369"/>
    <w:rsid w:val="48989662"/>
    <w:rsid w:val="48BE33DE"/>
    <w:rsid w:val="48D84712"/>
    <w:rsid w:val="494E16AB"/>
    <w:rsid w:val="4985C825"/>
    <w:rsid w:val="498A5911"/>
    <w:rsid w:val="49CC8986"/>
    <w:rsid w:val="49DC004A"/>
    <w:rsid w:val="4A0FE9A6"/>
    <w:rsid w:val="4A820C5C"/>
    <w:rsid w:val="4B29143F"/>
    <w:rsid w:val="4B2AD5ED"/>
    <w:rsid w:val="4B4DB7FA"/>
    <w:rsid w:val="4B6943FA"/>
    <w:rsid w:val="4B7A8B92"/>
    <w:rsid w:val="4BD082C6"/>
    <w:rsid w:val="4BE66D47"/>
    <w:rsid w:val="4C0D2E46"/>
    <w:rsid w:val="4C0EE30C"/>
    <w:rsid w:val="4CBB5F77"/>
    <w:rsid w:val="4CDE1A75"/>
    <w:rsid w:val="4CEDA40F"/>
    <w:rsid w:val="4CFE2FD1"/>
    <w:rsid w:val="4D4A2846"/>
    <w:rsid w:val="4DB4F49F"/>
    <w:rsid w:val="4DF26244"/>
    <w:rsid w:val="4E05E374"/>
    <w:rsid w:val="4E62E616"/>
    <w:rsid w:val="4E96995C"/>
    <w:rsid w:val="4F3649B6"/>
    <w:rsid w:val="4F56A33F"/>
    <w:rsid w:val="4F7763B7"/>
    <w:rsid w:val="4F8FD0B7"/>
    <w:rsid w:val="4FB4C519"/>
    <w:rsid w:val="5015F4CF"/>
    <w:rsid w:val="504BD8EB"/>
    <w:rsid w:val="50732B7B"/>
    <w:rsid w:val="50973E76"/>
    <w:rsid w:val="50CAB178"/>
    <w:rsid w:val="5100914A"/>
    <w:rsid w:val="510A3D2C"/>
    <w:rsid w:val="5135F5AA"/>
    <w:rsid w:val="51429C0C"/>
    <w:rsid w:val="51452027"/>
    <w:rsid w:val="516751BC"/>
    <w:rsid w:val="51746E40"/>
    <w:rsid w:val="51A9D9CE"/>
    <w:rsid w:val="51B848F0"/>
    <w:rsid w:val="51F5EA12"/>
    <w:rsid w:val="520E0C2C"/>
    <w:rsid w:val="521969AD"/>
    <w:rsid w:val="52445DDE"/>
    <w:rsid w:val="528B7F15"/>
    <w:rsid w:val="52A9FB2C"/>
    <w:rsid w:val="52BF73A9"/>
    <w:rsid w:val="52DA0D4D"/>
    <w:rsid w:val="52E0EA09"/>
    <w:rsid w:val="52FBE650"/>
    <w:rsid w:val="53891F4C"/>
    <w:rsid w:val="53CE30AD"/>
    <w:rsid w:val="544D0E74"/>
    <w:rsid w:val="5458E2CA"/>
    <w:rsid w:val="547DD93A"/>
    <w:rsid w:val="5480B444"/>
    <w:rsid w:val="54913844"/>
    <w:rsid w:val="54F97A61"/>
    <w:rsid w:val="554D978C"/>
    <w:rsid w:val="557799B7"/>
    <w:rsid w:val="559843B3"/>
    <w:rsid w:val="55AF7C02"/>
    <w:rsid w:val="55C68EAC"/>
    <w:rsid w:val="55CE6804"/>
    <w:rsid w:val="55EC20AC"/>
    <w:rsid w:val="55FFB636"/>
    <w:rsid w:val="56069A94"/>
    <w:rsid w:val="5633F26A"/>
    <w:rsid w:val="566E336A"/>
    <w:rsid w:val="56984C67"/>
    <w:rsid w:val="569A14F2"/>
    <w:rsid w:val="56A445C2"/>
    <w:rsid w:val="56F576D2"/>
    <w:rsid w:val="56FBDD96"/>
    <w:rsid w:val="57349347"/>
    <w:rsid w:val="579C42F9"/>
    <w:rsid w:val="57B9A8FD"/>
    <w:rsid w:val="57C1C223"/>
    <w:rsid w:val="582C67ED"/>
    <w:rsid w:val="584D5064"/>
    <w:rsid w:val="5860E519"/>
    <w:rsid w:val="586A1EC3"/>
    <w:rsid w:val="587CBE4B"/>
    <w:rsid w:val="588877A2"/>
    <w:rsid w:val="589711D6"/>
    <w:rsid w:val="589796E2"/>
    <w:rsid w:val="58AC8F2A"/>
    <w:rsid w:val="58BA38B5"/>
    <w:rsid w:val="58DF9E73"/>
    <w:rsid w:val="5A0F74FD"/>
    <w:rsid w:val="5A14F003"/>
    <w:rsid w:val="5A1AE509"/>
    <w:rsid w:val="5A3B58BB"/>
    <w:rsid w:val="5A3C7F63"/>
    <w:rsid w:val="5A3E5F7B"/>
    <w:rsid w:val="5A496633"/>
    <w:rsid w:val="5A5FC229"/>
    <w:rsid w:val="5A69633B"/>
    <w:rsid w:val="5A87F704"/>
    <w:rsid w:val="5A940E2F"/>
    <w:rsid w:val="5A94110E"/>
    <w:rsid w:val="5AECC99C"/>
    <w:rsid w:val="5B114AA2"/>
    <w:rsid w:val="5B16ADBB"/>
    <w:rsid w:val="5B1E7323"/>
    <w:rsid w:val="5B21689E"/>
    <w:rsid w:val="5B429B50"/>
    <w:rsid w:val="5B4F86AC"/>
    <w:rsid w:val="5BB6215A"/>
    <w:rsid w:val="5C2CB1EC"/>
    <w:rsid w:val="5CADC38F"/>
    <w:rsid w:val="5CB6F173"/>
    <w:rsid w:val="5CF6A6A3"/>
    <w:rsid w:val="5D042D3B"/>
    <w:rsid w:val="5D1EA696"/>
    <w:rsid w:val="5D2930B6"/>
    <w:rsid w:val="5D44451B"/>
    <w:rsid w:val="5E154741"/>
    <w:rsid w:val="5E163B63"/>
    <w:rsid w:val="5E1B822F"/>
    <w:rsid w:val="5E789A5E"/>
    <w:rsid w:val="5E822CDD"/>
    <w:rsid w:val="5F1D543D"/>
    <w:rsid w:val="5F99B3E7"/>
    <w:rsid w:val="5FE600E9"/>
    <w:rsid w:val="5FFF6AF1"/>
    <w:rsid w:val="601A5647"/>
    <w:rsid w:val="601FEFA2"/>
    <w:rsid w:val="60B99FEB"/>
    <w:rsid w:val="60BCC177"/>
    <w:rsid w:val="60FEB97F"/>
    <w:rsid w:val="61230B8A"/>
    <w:rsid w:val="613359C9"/>
    <w:rsid w:val="619F3A5B"/>
    <w:rsid w:val="61A294DA"/>
    <w:rsid w:val="61AB64EF"/>
    <w:rsid w:val="623550BC"/>
    <w:rsid w:val="629A77E1"/>
    <w:rsid w:val="62AE66FC"/>
    <w:rsid w:val="62D394BA"/>
    <w:rsid w:val="630089B0"/>
    <w:rsid w:val="63216C44"/>
    <w:rsid w:val="63238E46"/>
    <w:rsid w:val="632968E0"/>
    <w:rsid w:val="634B26EB"/>
    <w:rsid w:val="6353013C"/>
    <w:rsid w:val="63571122"/>
    <w:rsid w:val="637828BE"/>
    <w:rsid w:val="63E857AB"/>
    <w:rsid w:val="641627EA"/>
    <w:rsid w:val="644E0A35"/>
    <w:rsid w:val="646869C7"/>
    <w:rsid w:val="6478316C"/>
    <w:rsid w:val="648C8A77"/>
    <w:rsid w:val="648FEECE"/>
    <w:rsid w:val="6494C790"/>
    <w:rsid w:val="64CACB36"/>
    <w:rsid w:val="65193F42"/>
    <w:rsid w:val="6564BB36"/>
    <w:rsid w:val="65A1AE14"/>
    <w:rsid w:val="65A80D98"/>
    <w:rsid w:val="65B3247F"/>
    <w:rsid w:val="65CA61B3"/>
    <w:rsid w:val="65CED3D2"/>
    <w:rsid w:val="661BB2D2"/>
    <w:rsid w:val="664E9FC5"/>
    <w:rsid w:val="665D9EE3"/>
    <w:rsid w:val="667E5A70"/>
    <w:rsid w:val="66FC3E74"/>
    <w:rsid w:val="671EA20A"/>
    <w:rsid w:val="67256F69"/>
    <w:rsid w:val="673A1ACB"/>
    <w:rsid w:val="673AB853"/>
    <w:rsid w:val="675190FB"/>
    <w:rsid w:val="67528E04"/>
    <w:rsid w:val="681ADD09"/>
    <w:rsid w:val="685DF46E"/>
    <w:rsid w:val="68FEA8CB"/>
    <w:rsid w:val="6911B6F4"/>
    <w:rsid w:val="692E3AB3"/>
    <w:rsid w:val="69310DF9"/>
    <w:rsid w:val="6974FF76"/>
    <w:rsid w:val="69860BBA"/>
    <w:rsid w:val="69A56421"/>
    <w:rsid w:val="69CBDAA0"/>
    <w:rsid w:val="6A07958A"/>
    <w:rsid w:val="6A180EB1"/>
    <w:rsid w:val="6A27C293"/>
    <w:rsid w:val="6A2B3332"/>
    <w:rsid w:val="6A5BCF47"/>
    <w:rsid w:val="6A5CD7C5"/>
    <w:rsid w:val="6A63DD17"/>
    <w:rsid w:val="6AAE56E9"/>
    <w:rsid w:val="6AE67836"/>
    <w:rsid w:val="6B0F3856"/>
    <w:rsid w:val="6B1E35B4"/>
    <w:rsid w:val="6B2B126E"/>
    <w:rsid w:val="6BE8BCEC"/>
    <w:rsid w:val="6BF7558A"/>
    <w:rsid w:val="6C14728B"/>
    <w:rsid w:val="6C241274"/>
    <w:rsid w:val="6C248748"/>
    <w:rsid w:val="6C2980EE"/>
    <w:rsid w:val="6C2E4B20"/>
    <w:rsid w:val="6C2E9B81"/>
    <w:rsid w:val="6C39D9CD"/>
    <w:rsid w:val="6C416981"/>
    <w:rsid w:val="6C5F05E1"/>
    <w:rsid w:val="6C6CB266"/>
    <w:rsid w:val="6D0BB1B2"/>
    <w:rsid w:val="6D64F356"/>
    <w:rsid w:val="6D93E285"/>
    <w:rsid w:val="6D9F6559"/>
    <w:rsid w:val="6DBA08D0"/>
    <w:rsid w:val="6DC18BB4"/>
    <w:rsid w:val="6DE27A17"/>
    <w:rsid w:val="6E334946"/>
    <w:rsid w:val="6E3E03A0"/>
    <w:rsid w:val="6E49B89E"/>
    <w:rsid w:val="6E6AC11B"/>
    <w:rsid w:val="6F31D662"/>
    <w:rsid w:val="6F37CF6F"/>
    <w:rsid w:val="6F4E568D"/>
    <w:rsid w:val="6F841736"/>
    <w:rsid w:val="7065C12F"/>
    <w:rsid w:val="706A34D5"/>
    <w:rsid w:val="70BB63B5"/>
    <w:rsid w:val="70CB53B2"/>
    <w:rsid w:val="70E6878B"/>
    <w:rsid w:val="70F715E3"/>
    <w:rsid w:val="70F8495F"/>
    <w:rsid w:val="710CDB68"/>
    <w:rsid w:val="711B99B6"/>
    <w:rsid w:val="711D7DCE"/>
    <w:rsid w:val="7147621D"/>
    <w:rsid w:val="714BB1D6"/>
    <w:rsid w:val="7153F998"/>
    <w:rsid w:val="715CDEE2"/>
    <w:rsid w:val="7186982C"/>
    <w:rsid w:val="71A76694"/>
    <w:rsid w:val="71AB74CC"/>
    <w:rsid w:val="71CA970A"/>
    <w:rsid w:val="71CED0D0"/>
    <w:rsid w:val="71F4BBD4"/>
    <w:rsid w:val="721A0391"/>
    <w:rsid w:val="727059EE"/>
    <w:rsid w:val="72BF59CB"/>
    <w:rsid w:val="72FEBE06"/>
    <w:rsid w:val="7312A368"/>
    <w:rsid w:val="7333D2EC"/>
    <w:rsid w:val="7353CB8A"/>
    <w:rsid w:val="736D41ED"/>
    <w:rsid w:val="7375552F"/>
    <w:rsid w:val="7379FBD0"/>
    <w:rsid w:val="73C1F944"/>
    <w:rsid w:val="73C4241A"/>
    <w:rsid w:val="74BE5369"/>
    <w:rsid w:val="74DAB0FD"/>
    <w:rsid w:val="74F467A2"/>
    <w:rsid w:val="7516F091"/>
    <w:rsid w:val="7535EE0A"/>
    <w:rsid w:val="7555F00D"/>
    <w:rsid w:val="75758FE8"/>
    <w:rsid w:val="758B52C6"/>
    <w:rsid w:val="75FAA544"/>
    <w:rsid w:val="761EB3AF"/>
    <w:rsid w:val="7630E24A"/>
    <w:rsid w:val="763AC72D"/>
    <w:rsid w:val="766C73E6"/>
    <w:rsid w:val="767BBB4B"/>
    <w:rsid w:val="7680CEC5"/>
    <w:rsid w:val="76B4AB78"/>
    <w:rsid w:val="76FD03D7"/>
    <w:rsid w:val="773ABE09"/>
    <w:rsid w:val="774C965D"/>
    <w:rsid w:val="7770029E"/>
    <w:rsid w:val="7778CDB4"/>
    <w:rsid w:val="77B7C6B3"/>
    <w:rsid w:val="77CBB9E7"/>
    <w:rsid w:val="77CEAD04"/>
    <w:rsid w:val="77CFFEAE"/>
    <w:rsid w:val="77E0E549"/>
    <w:rsid w:val="782E90C1"/>
    <w:rsid w:val="78586555"/>
    <w:rsid w:val="785B917E"/>
    <w:rsid w:val="785FE24A"/>
    <w:rsid w:val="78F1B4DA"/>
    <w:rsid w:val="79030303"/>
    <w:rsid w:val="793A8526"/>
    <w:rsid w:val="793DE481"/>
    <w:rsid w:val="794D9BF9"/>
    <w:rsid w:val="79B39E92"/>
    <w:rsid w:val="79C1778E"/>
    <w:rsid w:val="79C94A0E"/>
    <w:rsid w:val="79CF9B58"/>
    <w:rsid w:val="79E8E184"/>
    <w:rsid w:val="79F8D7F2"/>
    <w:rsid w:val="79FBEECB"/>
    <w:rsid w:val="79FD6187"/>
    <w:rsid w:val="7A175255"/>
    <w:rsid w:val="7A1BB6B6"/>
    <w:rsid w:val="7A25C99A"/>
    <w:rsid w:val="7A29C215"/>
    <w:rsid w:val="7A4FD064"/>
    <w:rsid w:val="7A51FD09"/>
    <w:rsid w:val="7A99A5C4"/>
    <w:rsid w:val="7AAC0ECF"/>
    <w:rsid w:val="7B3CADCC"/>
    <w:rsid w:val="7B512426"/>
    <w:rsid w:val="7B6A927F"/>
    <w:rsid w:val="7B9846EE"/>
    <w:rsid w:val="7BB730D0"/>
    <w:rsid w:val="7BB75694"/>
    <w:rsid w:val="7BE3DE5B"/>
    <w:rsid w:val="7C030D84"/>
    <w:rsid w:val="7CBADA4B"/>
    <w:rsid w:val="7CEC5B81"/>
    <w:rsid w:val="7CF579AF"/>
    <w:rsid w:val="7CF63338"/>
    <w:rsid w:val="7D215CAD"/>
    <w:rsid w:val="7D2A1962"/>
    <w:rsid w:val="7D97AD3B"/>
    <w:rsid w:val="7D9C0B29"/>
    <w:rsid w:val="7DA7B253"/>
    <w:rsid w:val="7E2D8EA6"/>
    <w:rsid w:val="7E3E8B7B"/>
    <w:rsid w:val="7E68F4FC"/>
    <w:rsid w:val="7E96E11C"/>
    <w:rsid w:val="7F18DA41"/>
    <w:rsid w:val="7F2D3B6C"/>
    <w:rsid w:val="7F4CC033"/>
    <w:rsid w:val="7F4FDB33"/>
    <w:rsid w:val="7F62D14D"/>
    <w:rsid w:val="7F89113D"/>
    <w:rsid w:val="7FD43743"/>
    <w:rsid w:val="7FF895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005434"/>
  <w15:chartTrackingRefBased/>
  <w15:docId w15:val="{1174805C-EFD7-44A3-AF71-BB9BE9CC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29A"/>
    <w:pPr>
      <w:keepNext/>
      <w:keepLines/>
      <w:numPr>
        <w:numId w:val="3"/>
      </w:numPr>
      <w:spacing w:before="240" w:after="120"/>
      <w:ind w:left="357" w:hanging="357"/>
      <w:outlineLvl w:val="0"/>
    </w:pPr>
    <w:rPr>
      <w:rFonts w:ascii="Aino" w:eastAsiaTheme="majorEastAsia" w:hAnsi="Aino" w:cstheme="majorBidi"/>
      <w:b/>
      <w:color w:val="0E2841" w:themeColor="text2"/>
      <w:sz w:val="28"/>
      <w:szCs w:val="32"/>
    </w:rPr>
  </w:style>
  <w:style w:type="paragraph" w:styleId="Heading2">
    <w:name w:val="heading 2"/>
    <w:basedOn w:val="Normal"/>
    <w:next w:val="Normal"/>
    <w:link w:val="Heading2Char"/>
    <w:uiPriority w:val="9"/>
    <w:unhideWhenUsed/>
    <w:qFormat/>
    <w:rsid w:val="00DA129A"/>
    <w:pPr>
      <w:keepNext/>
      <w:keepLines/>
      <w:spacing w:before="40" w:after="120"/>
      <w:outlineLvl w:val="1"/>
    </w:pPr>
    <w:rPr>
      <w:rFonts w:ascii="Aino" w:eastAsiaTheme="majorEastAsia" w:hAnsi="Aino" w:cstheme="majorBidi"/>
      <w:b/>
      <w:color w:val="E97132" w:themeColor="accent2"/>
      <w:sz w:val="24"/>
      <w:szCs w:val="26"/>
    </w:rPr>
  </w:style>
  <w:style w:type="paragraph" w:styleId="Heading3">
    <w:name w:val="heading 3"/>
    <w:basedOn w:val="Normal"/>
    <w:next w:val="Normal"/>
    <w:link w:val="Heading3Char"/>
    <w:uiPriority w:val="9"/>
    <w:unhideWhenUsed/>
    <w:qFormat/>
    <w:rsid w:val="00DA129A"/>
    <w:pPr>
      <w:keepNext/>
      <w:keepLines/>
      <w:spacing w:before="40" w:after="120"/>
      <w:ind w:left="1418" w:hanging="709"/>
      <w:outlineLvl w:val="2"/>
    </w:pPr>
    <w:rPr>
      <w:rFonts w:ascii="Aino" w:eastAsiaTheme="majorEastAsia" w:hAnsi="Aino" w:cstheme="majorBidi"/>
      <w:b/>
      <w:color w:val="2C7FCE" w:themeColor="text2" w:themeTint="99"/>
      <w:sz w:val="20"/>
      <w:szCs w:val="24"/>
    </w:rPr>
  </w:style>
  <w:style w:type="paragraph" w:styleId="Heading4">
    <w:name w:val="heading 4"/>
    <w:basedOn w:val="Normal"/>
    <w:next w:val="Normal"/>
    <w:link w:val="Heading4Char"/>
    <w:uiPriority w:val="9"/>
    <w:semiHidden/>
    <w:unhideWhenUsed/>
    <w:qFormat/>
    <w:rsid w:val="00463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epealkiri">
    <w:name w:val="Vahepealkiri"/>
    <w:basedOn w:val="ListParagraph"/>
    <w:next w:val="Normal"/>
    <w:rsid w:val="00DA129A"/>
    <w:pPr>
      <w:numPr>
        <w:numId w:val="2"/>
      </w:numPr>
      <w:spacing w:before="120" w:after="200"/>
    </w:pPr>
    <w:rPr>
      <w:rFonts w:ascii="Aino" w:hAnsi="Aino"/>
      <w:b/>
      <w:color w:val="E97132" w:themeColor="accent2"/>
      <w:sz w:val="24"/>
    </w:rPr>
  </w:style>
  <w:style w:type="paragraph" w:styleId="ListParagraph">
    <w:name w:val="List Paragraph"/>
    <w:basedOn w:val="Normal"/>
    <w:uiPriority w:val="34"/>
    <w:qFormat/>
    <w:rsid w:val="00AF71C4"/>
    <w:pPr>
      <w:ind w:left="720"/>
      <w:contextualSpacing/>
    </w:pPr>
  </w:style>
  <w:style w:type="character" w:customStyle="1" w:styleId="Heading2Char">
    <w:name w:val="Heading 2 Char"/>
    <w:basedOn w:val="DefaultParagraphFont"/>
    <w:link w:val="Heading2"/>
    <w:uiPriority w:val="9"/>
    <w:rsid w:val="00DA129A"/>
    <w:rPr>
      <w:rFonts w:ascii="Aino" w:eastAsiaTheme="majorEastAsia" w:hAnsi="Aino" w:cstheme="majorBidi"/>
      <w:b/>
      <w:color w:val="E97132" w:themeColor="accent2"/>
      <w:sz w:val="24"/>
      <w:szCs w:val="26"/>
    </w:rPr>
  </w:style>
  <w:style w:type="character" w:customStyle="1" w:styleId="Heading1Char">
    <w:name w:val="Heading 1 Char"/>
    <w:basedOn w:val="DefaultParagraphFont"/>
    <w:link w:val="Heading1"/>
    <w:uiPriority w:val="9"/>
    <w:rsid w:val="00DA129A"/>
    <w:rPr>
      <w:rFonts w:ascii="Aino" w:eastAsiaTheme="majorEastAsia" w:hAnsi="Aino" w:cstheme="majorBidi"/>
      <w:b/>
      <w:color w:val="0E2841" w:themeColor="text2"/>
      <w:sz w:val="28"/>
      <w:szCs w:val="32"/>
    </w:rPr>
  </w:style>
  <w:style w:type="character" w:customStyle="1" w:styleId="Heading3Char">
    <w:name w:val="Heading 3 Char"/>
    <w:basedOn w:val="DefaultParagraphFont"/>
    <w:link w:val="Heading3"/>
    <w:uiPriority w:val="9"/>
    <w:rsid w:val="00DA129A"/>
    <w:rPr>
      <w:rFonts w:ascii="Aino" w:eastAsiaTheme="majorEastAsia" w:hAnsi="Aino" w:cstheme="majorBidi"/>
      <w:b/>
      <w:color w:val="2C7FCE" w:themeColor="text2" w:themeTint="99"/>
      <w:sz w:val="20"/>
      <w:szCs w:val="24"/>
    </w:rPr>
  </w:style>
  <w:style w:type="character" w:customStyle="1" w:styleId="Heading4Char">
    <w:name w:val="Heading 4 Char"/>
    <w:basedOn w:val="DefaultParagraphFont"/>
    <w:link w:val="Heading4"/>
    <w:uiPriority w:val="9"/>
    <w:semiHidden/>
    <w:rsid w:val="004635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5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55D"/>
    <w:rPr>
      <w:rFonts w:eastAsiaTheme="majorEastAsia" w:cstheme="majorBidi"/>
      <w:color w:val="272727" w:themeColor="text1" w:themeTint="D8"/>
    </w:rPr>
  </w:style>
  <w:style w:type="paragraph" w:styleId="Title">
    <w:name w:val="Title"/>
    <w:basedOn w:val="Normal"/>
    <w:next w:val="Normal"/>
    <w:link w:val="TitleChar"/>
    <w:uiPriority w:val="10"/>
    <w:qFormat/>
    <w:rsid w:val="00463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55D"/>
    <w:pPr>
      <w:spacing w:before="160"/>
      <w:jc w:val="center"/>
    </w:pPr>
    <w:rPr>
      <w:i/>
      <w:iCs/>
      <w:color w:val="404040" w:themeColor="text1" w:themeTint="BF"/>
    </w:rPr>
  </w:style>
  <w:style w:type="character" w:customStyle="1" w:styleId="QuoteChar">
    <w:name w:val="Quote Char"/>
    <w:basedOn w:val="DefaultParagraphFont"/>
    <w:link w:val="Quote"/>
    <w:uiPriority w:val="29"/>
    <w:rsid w:val="0046355D"/>
    <w:rPr>
      <w:i/>
      <w:iCs/>
      <w:color w:val="404040" w:themeColor="text1" w:themeTint="BF"/>
    </w:rPr>
  </w:style>
  <w:style w:type="character" w:styleId="IntenseEmphasis">
    <w:name w:val="Intense Emphasis"/>
    <w:basedOn w:val="DefaultParagraphFont"/>
    <w:uiPriority w:val="21"/>
    <w:qFormat/>
    <w:rsid w:val="0046355D"/>
    <w:rPr>
      <w:i/>
      <w:iCs/>
      <w:color w:val="0F4761" w:themeColor="accent1" w:themeShade="BF"/>
    </w:rPr>
  </w:style>
  <w:style w:type="paragraph" w:styleId="IntenseQuote">
    <w:name w:val="Intense Quote"/>
    <w:basedOn w:val="Normal"/>
    <w:next w:val="Normal"/>
    <w:link w:val="IntenseQuoteChar"/>
    <w:uiPriority w:val="30"/>
    <w:qFormat/>
    <w:rsid w:val="00463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55D"/>
    <w:rPr>
      <w:i/>
      <w:iCs/>
      <w:color w:val="0F4761" w:themeColor="accent1" w:themeShade="BF"/>
    </w:rPr>
  </w:style>
  <w:style w:type="character" w:styleId="IntenseReference">
    <w:name w:val="Intense Reference"/>
    <w:basedOn w:val="DefaultParagraphFont"/>
    <w:uiPriority w:val="32"/>
    <w:qFormat/>
    <w:rsid w:val="0046355D"/>
    <w:rPr>
      <w:b/>
      <w:bCs/>
      <w:smallCaps/>
      <w:color w:val="0F4761" w:themeColor="accent1" w:themeShade="BF"/>
      <w:spacing w:val="5"/>
    </w:rPr>
  </w:style>
  <w:style w:type="character" w:styleId="CommentReference">
    <w:name w:val="annotation reference"/>
    <w:basedOn w:val="DefaultParagraphFont"/>
    <w:uiPriority w:val="99"/>
    <w:semiHidden/>
    <w:unhideWhenUsed/>
    <w:rsid w:val="00C51C22"/>
    <w:rPr>
      <w:sz w:val="16"/>
      <w:szCs w:val="16"/>
    </w:rPr>
  </w:style>
  <w:style w:type="paragraph" w:styleId="CommentText">
    <w:name w:val="annotation text"/>
    <w:basedOn w:val="Normal"/>
    <w:link w:val="CommentTextChar"/>
    <w:uiPriority w:val="99"/>
    <w:unhideWhenUsed/>
    <w:rsid w:val="00C51C22"/>
    <w:pPr>
      <w:spacing w:line="240" w:lineRule="auto"/>
    </w:pPr>
    <w:rPr>
      <w:sz w:val="20"/>
      <w:szCs w:val="20"/>
    </w:rPr>
  </w:style>
  <w:style w:type="character" w:customStyle="1" w:styleId="CommentTextChar">
    <w:name w:val="Comment Text Char"/>
    <w:basedOn w:val="DefaultParagraphFont"/>
    <w:link w:val="CommentText"/>
    <w:uiPriority w:val="99"/>
    <w:rsid w:val="00C51C22"/>
    <w:rPr>
      <w:sz w:val="20"/>
      <w:szCs w:val="20"/>
    </w:rPr>
  </w:style>
  <w:style w:type="paragraph" w:styleId="CommentSubject">
    <w:name w:val="annotation subject"/>
    <w:basedOn w:val="CommentText"/>
    <w:next w:val="CommentText"/>
    <w:link w:val="CommentSubjectChar"/>
    <w:uiPriority w:val="99"/>
    <w:semiHidden/>
    <w:unhideWhenUsed/>
    <w:rsid w:val="00C51C22"/>
    <w:rPr>
      <w:b/>
      <w:bCs/>
    </w:rPr>
  </w:style>
  <w:style w:type="character" w:customStyle="1" w:styleId="CommentSubjectChar">
    <w:name w:val="Comment Subject Char"/>
    <w:basedOn w:val="CommentTextChar"/>
    <w:link w:val="CommentSubject"/>
    <w:uiPriority w:val="99"/>
    <w:semiHidden/>
    <w:rsid w:val="00C51C22"/>
    <w:rPr>
      <w:b/>
      <w:bCs/>
      <w:sz w:val="20"/>
      <w:szCs w:val="20"/>
    </w:rPr>
  </w:style>
  <w:style w:type="table" w:styleId="TableGrid">
    <w:name w:val="Table Grid"/>
    <w:basedOn w:val="TableNormal"/>
    <w:uiPriority w:val="39"/>
    <w:rsid w:val="00AD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191E"/>
    <w:pPr>
      <w:spacing w:after="0" w:line="240" w:lineRule="auto"/>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rsid w:val="00FB2F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2F7B"/>
  </w:style>
  <w:style w:type="paragraph" w:styleId="Footer">
    <w:name w:val="footer"/>
    <w:basedOn w:val="Normal"/>
    <w:link w:val="FooterChar"/>
    <w:uiPriority w:val="99"/>
    <w:unhideWhenUsed/>
    <w:rsid w:val="00FB2F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2F7B"/>
  </w:style>
  <w:style w:type="table" w:customStyle="1" w:styleId="TableGrid1">
    <w:name w:val="Table Grid1"/>
    <w:basedOn w:val="TableNormal"/>
    <w:next w:val="TableGrid"/>
    <w:uiPriority w:val="39"/>
    <w:rsid w:val="00EF377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5419">
      <w:bodyDiv w:val="1"/>
      <w:marLeft w:val="0"/>
      <w:marRight w:val="0"/>
      <w:marTop w:val="0"/>
      <w:marBottom w:val="0"/>
      <w:divBdr>
        <w:top w:val="none" w:sz="0" w:space="0" w:color="auto"/>
        <w:left w:val="none" w:sz="0" w:space="0" w:color="auto"/>
        <w:bottom w:val="none" w:sz="0" w:space="0" w:color="auto"/>
        <w:right w:val="none" w:sz="0" w:space="0" w:color="auto"/>
      </w:divBdr>
      <w:divsChild>
        <w:div w:id="519975655">
          <w:marLeft w:val="0"/>
          <w:marRight w:val="0"/>
          <w:marTop w:val="0"/>
          <w:marBottom w:val="0"/>
          <w:divBdr>
            <w:top w:val="none" w:sz="0" w:space="0" w:color="auto"/>
            <w:left w:val="none" w:sz="0" w:space="0" w:color="auto"/>
            <w:bottom w:val="none" w:sz="0" w:space="0" w:color="auto"/>
            <w:right w:val="none" w:sz="0" w:space="0" w:color="auto"/>
          </w:divBdr>
        </w:div>
        <w:div w:id="1059477940">
          <w:marLeft w:val="0"/>
          <w:marRight w:val="0"/>
          <w:marTop w:val="0"/>
          <w:marBottom w:val="0"/>
          <w:divBdr>
            <w:top w:val="none" w:sz="0" w:space="0" w:color="auto"/>
            <w:left w:val="none" w:sz="0" w:space="0" w:color="auto"/>
            <w:bottom w:val="none" w:sz="0" w:space="0" w:color="auto"/>
            <w:right w:val="none" w:sz="0" w:space="0" w:color="auto"/>
          </w:divBdr>
        </w:div>
        <w:div w:id="1854220319">
          <w:marLeft w:val="0"/>
          <w:marRight w:val="0"/>
          <w:marTop w:val="0"/>
          <w:marBottom w:val="0"/>
          <w:divBdr>
            <w:top w:val="none" w:sz="0" w:space="0" w:color="auto"/>
            <w:left w:val="none" w:sz="0" w:space="0" w:color="auto"/>
            <w:bottom w:val="none" w:sz="0" w:space="0" w:color="auto"/>
            <w:right w:val="none" w:sz="0" w:space="0" w:color="auto"/>
          </w:divBdr>
        </w:div>
        <w:div w:id="2036076665">
          <w:marLeft w:val="0"/>
          <w:marRight w:val="0"/>
          <w:marTop w:val="0"/>
          <w:marBottom w:val="0"/>
          <w:divBdr>
            <w:top w:val="none" w:sz="0" w:space="0" w:color="auto"/>
            <w:left w:val="none" w:sz="0" w:space="0" w:color="auto"/>
            <w:bottom w:val="none" w:sz="0" w:space="0" w:color="auto"/>
            <w:right w:val="none" w:sz="0" w:space="0" w:color="auto"/>
          </w:divBdr>
        </w:div>
      </w:divsChild>
    </w:div>
    <w:div w:id="493254473">
      <w:bodyDiv w:val="1"/>
      <w:marLeft w:val="0"/>
      <w:marRight w:val="0"/>
      <w:marTop w:val="0"/>
      <w:marBottom w:val="0"/>
      <w:divBdr>
        <w:top w:val="none" w:sz="0" w:space="0" w:color="auto"/>
        <w:left w:val="none" w:sz="0" w:space="0" w:color="auto"/>
        <w:bottom w:val="none" w:sz="0" w:space="0" w:color="auto"/>
        <w:right w:val="none" w:sz="0" w:space="0" w:color="auto"/>
      </w:divBdr>
    </w:div>
    <w:div w:id="516163360">
      <w:bodyDiv w:val="1"/>
      <w:marLeft w:val="0"/>
      <w:marRight w:val="0"/>
      <w:marTop w:val="0"/>
      <w:marBottom w:val="0"/>
      <w:divBdr>
        <w:top w:val="none" w:sz="0" w:space="0" w:color="auto"/>
        <w:left w:val="none" w:sz="0" w:space="0" w:color="auto"/>
        <w:bottom w:val="none" w:sz="0" w:space="0" w:color="auto"/>
        <w:right w:val="none" w:sz="0" w:space="0" w:color="auto"/>
      </w:divBdr>
    </w:div>
    <w:div w:id="884877144">
      <w:bodyDiv w:val="1"/>
      <w:marLeft w:val="0"/>
      <w:marRight w:val="0"/>
      <w:marTop w:val="0"/>
      <w:marBottom w:val="0"/>
      <w:divBdr>
        <w:top w:val="none" w:sz="0" w:space="0" w:color="auto"/>
        <w:left w:val="none" w:sz="0" w:space="0" w:color="auto"/>
        <w:bottom w:val="none" w:sz="0" w:space="0" w:color="auto"/>
        <w:right w:val="none" w:sz="0" w:space="0" w:color="auto"/>
      </w:divBdr>
    </w:div>
    <w:div w:id="926958725">
      <w:bodyDiv w:val="1"/>
      <w:marLeft w:val="0"/>
      <w:marRight w:val="0"/>
      <w:marTop w:val="0"/>
      <w:marBottom w:val="0"/>
      <w:divBdr>
        <w:top w:val="none" w:sz="0" w:space="0" w:color="auto"/>
        <w:left w:val="none" w:sz="0" w:space="0" w:color="auto"/>
        <w:bottom w:val="none" w:sz="0" w:space="0" w:color="auto"/>
        <w:right w:val="none" w:sz="0" w:space="0" w:color="auto"/>
      </w:divBdr>
    </w:div>
    <w:div w:id="1292204194">
      <w:bodyDiv w:val="1"/>
      <w:marLeft w:val="0"/>
      <w:marRight w:val="0"/>
      <w:marTop w:val="0"/>
      <w:marBottom w:val="0"/>
      <w:divBdr>
        <w:top w:val="none" w:sz="0" w:space="0" w:color="auto"/>
        <w:left w:val="none" w:sz="0" w:space="0" w:color="auto"/>
        <w:bottom w:val="none" w:sz="0" w:space="0" w:color="auto"/>
        <w:right w:val="none" w:sz="0" w:space="0" w:color="auto"/>
      </w:divBdr>
    </w:div>
    <w:div w:id="1337344821">
      <w:bodyDiv w:val="1"/>
      <w:marLeft w:val="0"/>
      <w:marRight w:val="0"/>
      <w:marTop w:val="0"/>
      <w:marBottom w:val="0"/>
      <w:divBdr>
        <w:top w:val="none" w:sz="0" w:space="0" w:color="auto"/>
        <w:left w:val="none" w:sz="0" w:space="0" w:color="auto"/>
        <w:bottom w:val="none" w:sz="0" w:space="0" w:color="auto"/>
        <w:right w:val="none" w:sz="0" w:space="0" w:color="auto"/>
      </w:divBdr>
      <w:divsChild>
        <w:div w:id="105463302">
          <w:marLeft w:val="0"/>
          <w:marRight w:val="0"/>
          <w:marTop w:val="0"/>
          <w:marBottom w:val="0"/>
          <w:divBdr>
            <w:top w:val="none" w:sz="0" w:space="0" w:color="auto"/>
            <w:left w:val="none" w:sz="0" w:space="0" w:color="auto"/>
            <w:bottom w:val="none" w:sz="0" w:space="0" w:color="auto"/>
            <w:right w:val="none" w:sz="0" w:space="0" w:color="auto"/>
          </w:divBdr>
        </w:div>
        <w:div w:id="349262395">
          <w:marLeft w:val="0"/>
          <w:marRight w:val="0"/>
          <w:marTop w:val="0"/>
          <w:marBottom w:val="0"/>
          <w:divBdr>
            <w:top w:val="none" w:sz="0" w:space="0" w:color="auto"/>
            <w:left w:val="none" w:sz="0" w:space="0" w:color="auto"/>
            <w:bottom w:val="none" w:sz="0" w:space="0" w:color="auto"/>
            <w:right w:val="none" w:sz="0" w:space="0" w:color="auto"/>
          </w:divBdr>
        </w:div>
        <w:div w:id="722101435">
          <w:marLeft w:val="0"/>
          <w:marRight w:val="0"/>
          <w:marTop w:val="0"/>
          <w:marBottom w:val="0"/>
          <w:divBdr>
            <w:top w:val="none" w:sz="0" w:space="0" w:color="auto"/>
            <w:left w:val="none" w:sz="0" w:space="0" w:color="auto"/>
            <w:bottom w:val="none" w:sz="0" w:space="0" w:color="auto"/>
            <w:right w:val="none" w:sz="0" w:space="0" w:color="auto"/>
          </w:divBdr>
        </w:div>
        <w:div w:id="1162741082">
          <w:marLeft w:val="0"/>
          <w:marRight w:val="0"/>
          <w:marTop w:val="0"/>
          <w:marBottom w:val="0"/>
          <w:divBdr>
            <w:top w:val="none" w:sz="0" w:space="0" w:color="auto"/>
            <w:left w:val="none" w:sz="0" w:space="0" w:color="auto"/>
            <w:bottom w:val="none" w:sz="0" w:space="0" w:color="auto"/>
            <w:right w:val="none" w:sz="0" w:space="0" w:color="auto"/>
          </w:divBdr>
        </w:div>
      </w:divsChild>
    </w:div>
    <w:div w:id="1759793123">
      <w:bodyDiv w:val="1"/>
      <w:marLeft w:val="0"/>
      <w:marRight w:val="0"/>
      <w:marTop w:val="0"/>
      <w:marBottom w:val="0"/>
      <w:divBdr>
        <w:top w:val="none" w:sz="0" w:space="0" w:color="auto"/>
        <w:left w:val="none" w:sz="0" w:space="0" w:color="auto"/>
        <w:bottom w:val="none" w:sz="0" w:space="0" w:color="auto"/>
        <w:right w:val="none" w:sz="0" w:space="0" w:color="auto"/>
      </w:divBdr>
      <w:divsChild>
        <w:div w:id="399986185">
          <w:marLeft w:val="0"/>
          <w:marRight w:val="0"/>
          <w:marTop w:val="0"/>
          <w:marBottom w:val="0"/>
          <w:divBdr>
            <w:top w:val="none" w:sz="0" w:space="0" w:color="auto"/>
            <w:left w:val="none" w:sz="0" w:space="0" w:color="auto"/>
            <w:bottom w:val="none" w:sz="0" w:space="0" w:color="auto"/>
            <w:right w:val="none" w:sz="0" w:space="0" w:color="auto"/>
          </w:divBdr>
        </w:div>
        <w:div w:id="400450643">
          <w:marLeft w:val="0"/>
          <w:marRight w:val="0"/>
          <w:marTop w:val="0"/>
          <w:marBottom w:val="0"/>
          <w:divBdr>
            <w:top w:val="none" w:sz="0" w:space="0" w:color="auto"/>
            <w:left w:val="none" w:sz="0" w:space="0" w:color="auto"/>
            <w:bottom w:val="none" w:sz="0" w:space="0" w:color="auto"/>
            <w:right w:val="none" w:sz="0" w:space="0" w:color="auto"/>
          </w:divBdr>
        </w:div>
        <w:div w:id="1169521323">
          <w:marLeft w:val="0"/>
          <w:marRight w:val="0"/>
          <w:marTop w:val="0"/>
          <w:marBottom w:val="0"/>
          <w:divBdr>
            <w:top w:val="none" w:sz="0" w:space="0" w:color="auto"/>
            <w:left w:val="none" w:sz="0" w:space="0" w:color="auto"/>
            <w:bottom w:val="none" w:sz="0" w:space="0" w:color="auto"/>
            <w:right w:val="none" w:sz="0" w:space="0" w:color="auto"/>
          </w:divBdr>
        </w:div>
        <w:div w:id="1255284209">
          <w:marLeft w:val="0"/>
          <w:marRight w:val="0"/>
          <w:marTop w:val="0"/>
          <w:marBottom w:val="0"/>
          <w:divBdr>
            <w:top w:val="none" w:sz="0" w:space="0" w:color="auto"/>
            <w:left w:val="none" w:sz="0" w:space="0" w:color="auto"/>
            <w:bottom w:val="none" w:sz="0" w:space="0" w:color="auto"/>
            <w:right w:val="none" w:sz="0" w:space="0" w:color="auto"/>
          </w:divBdr>
        </w:div>
        <w:div w:id="1603682299">
          <w:marLeft w:val="0"/>
          <w:marRight w:val="0"/>
          <w:marTop w:val="0"/>
          <w:marBottom w:val="0"/>
          <w:divBdr>
            <w:top w:val="none" w:sz="0" w:space="0" w:color="auto"/>
            <w:left w:val="none" w:sz="0" w:space="0" w:color="auto"/>
            <w:bottom w:val="none" w:sz="0" w:space="0" w:color="auto"/>
            <w:right w:val="none" w:sz="0" w:space="0" w:color="auto"/>
          </w:divBdr>
        </w:div>
        <w:div w:id="1956282119">
          <w:marLeft w:val="0"/>
          <w:marRight w:val="0"/>
          <w:marTop w:val="0"/>
          <w:marBottom w:val="0"/>
          <w:divBdr>
            <w:top w:val="none" w:sz="0" w:space="0" w:color="auto"/>
            <w:left w:val="none" w:sz="0" w:space="0" w:color="auto"/>
            <w:bottom w:val="none" w:sz="0" w:space="0" w:color="auto"/>
            <w:right w:val="none" w:sz="0" w:space="0" w:color="auto"/>
          </w:divBdr>
        </w:div>
      </w:divsChild>
    </w:div>
    <w:div w:id="1790927407">
      <w:bodyDiv w:val="1"/>
      <w:marLeft w:val="0"/>
      <w:marRight w:val="0"/>
      <w:marTop w:val="0"/>
      <w:marBottom w:val="0"/>
      <w:divBdr>
        <w:top w:val="none" w:sz="0" w:space="0" w:color="auto"/>
        <w:left w:val="none" w:sz="0" w:space="0" w:color="auto"/>
        <w:bottom w:val="none" w:sz="0" w:space="0" w:color="auto"/>
        <w:right w:val="none" w:sz="0" w:space="0" w:color="auto"/>
      </w:divBdr>
      <w:divsChild>
        <w:div w:id="641348270">
          <w:marLeft w:val="0"/>
          <w:marRight w:val="0"/>
          <w:marTop w:val="0"/>
          <w:marBottom w:val="0"/>
          <w:divBdr>
            <w:top w:val="none" w:sz="0" w:space="0" w:color="auto"/>
            <w:left w:val="none" w:sz="0" w:space="0" w:color="auto"/>
            <w:bottom w:val="none" w:sz="0" w:space="0" w:color="auto"/>
            <w:right w:val="none" w:sz="0" w:space="0" w:color="auto"/>
          </w:divBdr>
        </w:div>
        <w:div w:id="1276212465">
          <w:marLeft w:val="0"/>
          <w:marRight w:val="0"/>
          <w:marTop w:val="0"/>
          <w:marBottom w:val="0"/>
          <w:divBdr>
            <w:top w:val="none" w:sz="0" w:space="0" w:color="auto"/>
            <w:left w:val="none" w:sz="0" w:space="0" w:color="auto"/>
            <w:bottom w:val="none" w:sz="0" w:space="0" w:color="auto"/>
            <w:right w:val="none" w:sz="0" w:space="0" w:color="auto"/>
          </w:divBdr>
        </w:div>
        <w:div w:id="1282027753">
          <w:marLeft w:val="0"/>
          <w:marRight w:val="0"/>
          <w:marTop w:val="0"/>
          <w:marBottom w:val="0"/>
          <w:divBdr>
            <w:top w:val="none" w:sz="0" w:space="0" w:color="auto"/>
            <w:left w:val="none" w:sz="0" w:space="0" w:color="auto"/>
            <w:bottom w:val="none" w:sz="0" w:space="0" w:color="auto"/>
            <w:right w:val="none" w:sz="0" w:space="0" w:color="auto"/>
          </w:divBdr>
        </w:div>
        <w:div w:id="1638954272">
          <w:marLeft w:val="0"/>
          <w:marRight w:val="0"/>
          <w:marTop w:val="0"/>
          <w:marBottom w:val="0"/>
          <w:divBdr>
            <w:top w:val="none" w:sz="0" w:space="0" w:color="auto"/>
            <w:left w:val="none" w:sz="0" w:space="0" w:color="auto"/>
            <w:bottom w:val="none" w:sz="0" w:space="0" w:color="auto"/>
            <w:right w:val="none" w:sz="0" w:space="0" w:color="auto"/>
          </w:divBdr>
        </w:div>
        <w:div w:id="1779400697">
          <w:marLeft w:val="0"/>
          <w:marRight w:val="0"/>
          <w:marTop w:val="0"/>
          <w:marBottom w:val="0"/>
          <w:divBdr>
            <w:top w:val="none" w:sz="0" w:space="0" w:color="auto"/>
            <w:left w:val="none" w:sz="0" w:space="0" w:color="auto"/>
            <w:bottom w:val="none" w:sz="0" w:space="0" w:color="auto"/>
            <w:right w:val="none" w:sz="0" w:space="0" w:color="auto"/>
          </w:divBdr>
        </w:div>
        <w:div w:id="1832678011">
          <w:marLeft w:val="0"/>
          <w:marRight w:val="0"/>
          <w:marTop w:val="0"/>
          <w:marBottom w:val="0"/>
          <w:divBdr>
            <w:top w:val="none" w:sz="0" w:space="0" w:color="auto"/>
            <w:left w:val="none" w:sz="0" w:space="0" w:color="auto"/>
            <w:bottom w:val="none" w:sz="0" w:space="0" w:color="auto"/>
            <w:right w:val="none" w:sz="0" w:space="0" w:color="auto"/>
          </w:divBdr>
        </w:div>
      </w:divsChild>
    </w:div>
    <w:div w:id="192113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01c238-783d-4e4f-bf2b-f05b7059a339">
      <Terms xmlns="http://schemas.microsoft.com/office/infopath/2007/PartnerControls"/>
    </lcf76f155ced4ddcb4097134ff3c332f>
    <TaxCatchAll xmlns="fa97be74-78ef-4c19-bdaa-a3d4e4d8ca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CABF8FCABFA4D9825D25F3BD62AC6" ma:contentTypeVersion="15" ma:contentTypeDescription="Create a new document." ma:contentTypeScope="" ma:versionID="94f2c454a2ca51907eb263dac8edddb3">
  <xsd:schema xmlns:xsd="http://www.w3.org/2001/XMLSchema" xmlns:xs="http://www.w3.org/2001/XMLSchema" xmlns:p="http://schemas.microsoft.com/office/2006/metadata/properties" xmlns:ns2="3301c238-783d-4e4f-bf2b-f05b7059a339" xmlns:ns3="fa97be74-78ef-4c19-bdaa-a3d4e4d8ca32" targetNamespace="http://schemas.microsoft.com/office/2006/metadata/properties" ma:root="true" ma:fieldsID="5dafea26d09175b84ccf341439ae8ae7" ns2:_="" ns3:_="">
    <xsd:import namespace="3301c238-783d-4e4f-bf2b-f05b7059a339"/>
    <xsd:import namespace="fa97be74-78ef-4c19-bdaa-a3d4e4d8ca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1c238-783d-4e4f-bf2b-f05b7059a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ca0ecdb-3aae-46c6-a326-6af7a1ca5ea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97be74-78ef-4c19-bdaa-a3d4e4d8ca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abf2bc8-61ed-4f2a-acc1-2d2edb9932c7}" ma:internalName="TaxCatchAll" ma:showField="CatchAllData" ma:web="fa97be74-78ef-4c19-bdaa-a3d4e4d8c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EF869-EACD-4D2C-814E-8050F4CE33D0}">
  <ds:schemaRefs>
    <ds:schemaRef ds:uri="http://schemas.microsoft.com/office/2006/metadata/properties"/>
    <ds:schemaRef ds:uri="http://schemas.microsoft.com/office/infopath/2007/PartnerControls"/>
    <ds:schemaRef ds:uri="3301c238-783d-4e4f-bf2b-f05b7059a339"/>
    <ds:schemaRef ds:uri="fa97be74-78ef-4c19-bdaa-a3d4e4d8ca32"/>
  </ds:schemaRefs>
</ds:datastoreItem>
</file>

<file path=customXml/itemProps2.xml><?xml version="1.0" encoding="utf-8"?>
<ds:datastoreItem xmlns:ds="http://schemas.openxmlformats.org/officeDocument/2006/customXml" ds:itemID="{74CE7C60-2A71-4C17-B11F-0D8590786683}">
  <ds:schemaRefs>
    <ds:schemaRef ds:uri="http://schemas.microsoft.com/sharepoint/v3/contenttype/forms"/>
  </ds:schemaRefs>
</ds:datastoreItem>
</file>

<file path=customXml/itemProps3.xml><?xml version="1.0" encoding="utf-8"?>
<ds:datastoreItem xmlns:ds="http://schemas.openxmlformats.org/officeDocument/2006/customXml" ds:itemID="{7E924164-9169-4113-8B73-1745B8A41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1c238-783d-4e4f-bf2b-f05b7059a339"/>
    <ds:schemaRef ds:uri="fa97be74-78ef-4c19-bdaa-a3d4e4d8c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2F9C1-614D-4BCD-B449-348C7B4B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1626</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KeMIT</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Rehemaa</dc:creator>
  <cp:keywords/>
  <dc:description/>
  <cp:lastModifiedBy>Kadri Juuriste</cp:lastModifiedBy>
  <cp:revision>44</cp:revision>
  <dcterms:created xsi:type="dcterms:W3CDTF">2024-09-17T08:34:00Z</dcterms:created>
  <dcterms:modified xsi:type="dcterms:W3CDTF">2025-02-11T08:51:00Z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0x01010060BCABF8FCABFA4D9825D25F3BD62AC6</vt:lpwstr>
  </property>
  <property fmtid="{D5CDD505-2E9C-101B-9397-08002B2CF9AE}" pid="3" name="MediaServiceImageTags">
    <vt:lpwstr/>
  </property>
</Properties>
</file>